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A0E1" w14:textId="7DAE25BF" w:rsidR="007B586E" w:rsidRDefault="007B586E" w:rsidP="007B586E">
      <w:pPr>
        <w:spacing w:line="36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75CCDB88" wp14:editId="51626E74">
            <wp:extent cx="2152650" cy="9239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EC1EA" w14:textId="0A4F6B57" w:rsidR="001D7DD4" w:rsidRDefault="00C74A35" w:rsidP="00F225F5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F225F5">
        <w:rPr>
          <w:rFonts w:ascii="Arial" w:hAnsi="Arial" w:cs="Arial"/>
          <w:b/>
          <w:sz w:val="24"/>
        </w:rPr>
        <w:t xml:space="preserve">APROXIMACIÓN EPIDEMIOLÓGICA, CLÍNICA Y CEFALOMÉTRICA DEL BROTE </w:t>
      </w:r>
      <w:r>
        <w:rPr>
          <w:rFonts w:ascii="Arial" w:hAnsi="Arial" w:cs="Arial"/>
          <w:b/>
          <w:sz w:val="24"/>
        </w:rPr>
        <w:t xml:space="preserve">ANORMAL </w:t>
      </w:r>
      <w:r w:rsidRPr="00F225F5">
        <w:rPr>
          <w:rFonts w:ascii="Arial" w:hAnsi="Arial" w:cs="Arial"/>
          <w:b/>
          <w:sz w:val="24"/>
        </w:rPr>
        <w:t>DE LOS TERCEROS MOLARES</w:t>
      </w:r>
    </w:p>
    <w:p w14:paraId="2DE1ED2C" w14:textId="77777777" w:rsidR="00E837F6" w:rsidRPr="00E837F6" w:rsidRDefault="00F225F5" w:rsidP="004551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Autores:</w:t>
      </w:r>
      <w:r w:rsidR="0045513F">
        <w:rPr>
          <w:rFonts w:ascii="Arial" w:hAnsi="Arial" w:cs="Arial"/>
          <w:b/>
          <w:sz w:val="24"/>
        </w:rPr>
        <w:t xml:space="preserve"> </w:t>
      </w:r>
      <w:r w:rsidR="00E837F6" w:rsidRPr="00E837F6">
        <w:rPr>
          <w:rFonts w:ascii="Arial" w:hAnsi="Arial" w:cs="Arial"/>
          <w:sz w:val="24"/>
          <w:szCs w:val="24"/>
        </w:rPr>
        <w:t>Mercedes Rodríguez del Toro</w:t>
      </w:r>
      <w:r w:rsidR="00C139BB">
        <w:rPr>
          <w:rFonts w:ascii="Arial" w:hAnsi="Arial" w:cs="Arial"/>
          <w:sz w:val="24"/>
          <w:szCs w:val="24"/>
        </w:rPr>
        <w:t>,</w:t>
      </w:r>
      <w:r w:rsidR="00E837F6" w:rsidRPr="00E837F6">
        <w:rPr>
          <w:rFonts w:ascii="Arial" w:hAnsi="Arial" w:cs="Arial"/>
          <w:sz w:val="24"/>
          <w:szCs w:val="24"/>
        </w:rPr>
        <w:t xml:space="preserve"> Liuba González Espangler</w:t>
      </w:r>
      <w:r w:rsidR="00C139BB">
        <w:rPr>
          <w:rFonts w:ascii="Arial" w:hAnsi="Arial" w:cs="Arial"/>
          <w:sz w:val="24"/>
          <w:szCs w:val="24"/>
        </w:rPr>
        <w:t xml:space="preserve">, </w:t>
      </w:r>
      <w:r w:rsidR="00E837F6" w:rsidRPr="00E837F6">
        <w:rPr>
          <w:rFonts w:ascii="Arial" w:hAnsi="Arial" w:cs="Arial"/>
          <w:sz w:val="24"/>
          <w:szCs w:val="24"/>
        </w:rPr>
        <w:t xml:space="preserve">Lázaro Ibrahim Romero García </w:t>
      </w:r>
    </w:p>
    <w:p w14:paraId="4F548F8B" w14:textId="77777777" w:rsidR="00C139BB" w:rsidRDefault="00C139BB" w:rsidP="00C13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0D53">
        <w:rPr>
          <w:rFonts w:ascii="Arial" w:hAnsi="Arial" w:cs="Arial"/>
          <w:b/>
          <w:sz w:val="24"/>
          <w:szCs w:val="24"/>
        </w:rPr>
        <w:t>Institución:</w:t>
      </w:r>
      <w:r>
        <w:rPr>
          <w:rFonts w:ascii="Arial" w:hAnsi="Arial" w:cs="Arial"/>
          <w:sz w:val="24"/>
          <w:szCs w:val="24"/>
        </w:rPr>
        <w:t xml:space="preserve"> F</w:t>
      </w:r>
      <w:r w:rsidRPr="001E01B2">
        <w:rPr>
          <w:rFonts w:ascii="Arial" w:hAnsi="Arial" w:cs="Arial"/>
          <w:sz w:val="24"/>
          <w:szCs w:val="24"/>
        </w:rPr>
        <w:t>acultad de Estomatología. Universidad de Cien</w:t>
      </w:r>
      <w:r>
        <w:rPr>
          <w:rFonts w:ascii="Arial" w:hAnsi="Arial" w:cs="Arial"/>
          <w:sz w:val="24"/>
          <w:szCs w:val="24"/>
        </w:rPr>
        <w:t xml:space="preserve">cias Médicas. Santiago de Cuba. </w:t>
      </w:r>
      <w:r w:rsidRPr="007C0D53">
        <w:rPr>
          <w:rFonts w:ascii="Arial" w:hAnsi="Arial" w:cs="Arial"/>
          <w:b/>
          <w:sz w:val="24"/>
          <w:szCs w:val="24"/>
        </w:rPr>
        <w:t>País:</w:t>
      </w:r>
      <w:r>
        <w:rPr>
          <w:rFonts w:ascii="Arial" w:hAnsi="Arial" w:cs="Arial"/>
          <w:sz w:val="24"/>
          <w:szCs w:val="24"/>
        </w:rPr>
        <w:t xml:space="preserve"> </w:t>
      </w:r>
      <w:r w:rsidRPr="001E01B2">
        <w:rPr>
          <w:rFonts w:ascii="Arial" w:hAnsi="Arial" w:cs="Arial"/>
          <w:sz w:val="24"/>
          <w:szCs w:val="24"/>
        </w:rPr>
        <w:t xml:space="preserve">Cuba. </w:t>
      </w:r>
      <w:r w:rsidRPr="007C0D53">
        <w:rPr>
          <w:rFonts w:ascii="Arial" w:hAnsi="Arial" w:cs="Arial"/>
          <w:b/>
          <w:sz w:val="24"/>
          <w:szCs w:val="24"/>
        </w:rPr>
        <w:t xml:space="preserve">Temática en la que se inserta el trabajo: </w:t>
      </w:r>
      <w:r w:rsidRPr="007C0D53">
        <w:rPr>
          <w:rFonts w:ascii="Arial" w:hAnsi="Arial" w:cs="Arial"/>
          <w:sz w:val="24"/>
          <w:szCs w:val="24"/>
        </w:rPr>
        <w:t>Ortodoncia</w:t>
      </w:r>
      <w:r>
        <w:rPr>
          <w:rFonts w:ascii="Arial" w:hAnsi="Arial" w:cs="Arial"/>
          <w:sz w:val="24"/>
          <w:szCs w:val="24"/>
        </w:rPr>
        <w:t xml:space="preserve"> </w:t>
      </w:r>
      <w:r w:rsidRPr="00C139BB">
        <w:rPr>
          <w:rFonts w:ascii="Arial" w:hAnsi="Arial" w:cs="Arial"/>
          <w:b/>
          <w:sz w:val="24"/>
          <w:szCs w:val="24"/>
        </w:rPr>
        <w:t>Correo electrónico para correspondencia: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BF7D5C">
          <w:rPr>
            <w:rStyle w:val="Hipervnculo"/>
            <w:rFonts w:ascii="Arial" w:hAnsi="Arial" w:cs="Arial"/>
            <w:sz w:val="24"/>
            <w:szCs w:val="24"/>
          </w:rPr>
          <w:t>merci84@nauta.cu</w:t>
        </w:r>
      </w:hyperlink>
    </w:p>
    <w:p w14:paraId="7A13AA2C" w14:textId="77777777" w:rsidR="006C68AE" w:rsidRPr="006C68AE" w:rsidRDefault="000A5533" w:rsidP="006C68AE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6C68AE">
        <w:rPr>
          <w:rFonts w:ascii="Arial" w:hAnsi="Arial" w:cs="Arial"/>
          <w:b/>
          <w:sz w:val="24"/>
          <w:szCs w:val="24"/>
        </w:rPr>
        <w:t>RESUMEN</w:t>
      </w:r>
    </w:p>
    <w:p w14:paraId="5F7462A7" w14:textId="77777777" w:rsidR="00147190" w:rsidRDefault="006C68AE" w:rsidP="00C13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68AE">
        <w:rPr>
          <w:rFonts w:ascii="Arial" w:hAnsi="Arial" w:cs="Arial"/>
          <w:b/>
          <w:color w:val="000000"/>
          <w:sz w:val="24"/>
          <w:szCs w:val="24"/>
        </w:rPr>
        <w:t>Introducción:</w:t>
      </w:r>
      <w:r w:rsidRPr="006C68AE">
        <w:rPr>
          <w:rFonts w:ascii="Arial" w:hAnsi="Arial" w:cs="Arial"/>
          <w:color w:val="000000"/>
          <w:sz w:val="24"/>
          <w:szCs w:val="24"/>
        </w:rPr>
        <w:t xml:space="preserve"> </w:t>
      </w:r>
      <w:r w:rsidR="00231902">
        <w:rPr>
          <w:rFonts w:ascii="Arial" w:hAnsi="Arial" w:cs="Arial"/>
          <w:color w:val="000000" w:themeColor="text1"/>
          <w:sz w:val="24"/>
          <w:szCs w:val="24"/>
        </w:rPr>
        <w:t>el brote de los terceros molares es un proceso que aún no está del todo explicado, pero se señala que d</w:t>
      </w:r>
      <w:r w:rsidR="00231902" w:rsidRPr="005E0871">
        <w:rPr>
          <w:rFonts w:ascii="Arial" w:hAnsi="Arial" w:cs="Arial"/>
          <w:color w:val="000000" w:themeColor="text1"/>
          <w:sz w:val="24"/>
          <w:szCs w:val="24"/>
        </w:rPr>
        <w:t>urante su erupción son capaces de provocar diferentes accidentes o complicaciones</w:t>
      </w:r>
      <w:r w:rsidR="00231902">
        <w:rPr>
          <w:rFonts w:ascii="Arial" w:hAnsi="Arial" w:cs="Arial"/>
          <w:color w:val="000000" w:themeColor="text1"/>
          <w:sz w:val="24"/>
          <w:szCs w:val="24"/>
        </w:rPr>
        <w:t>.</w:t>
      </w:r>
      <w:r w:rsidR="00C139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68AE">
        <w:rPr>
          <w:rFonts w:ascii="Arial" w:hAnsi="Arial" w:cs="Arial"/>
          <w:b/>
          <w:color w:val="000000"/>
          <w:sz w:val="24"/>
          <w:szCs w:val="24"/>
        </w:rPr>
        <w:t>Objetivo:</w:t>
      </w:r>
      <w:r w:rsidRPr="006C68AE">
        <w:rPr>
          <w:rFonts w:ascii="Arial" w:hAnsi="Arial" w:cs="Arial"/>
          <w:color w:val="000000"/>
          <w:sz w:val="24"/>
          <w:szCs w:val="24"/>
        </w:rPr>
        <w:t xml:space="preserve"> </w:t>
      </w:r>
      <w:r w:rsidR="00231902" w:rsidRPr="002D122B">
        <w:rPr>
          <w:rFonts w:ascii="Arial" w:hAnsi="Arial" w:cs="Arial"/>
          <w:sz w:val="24"/>
          <w:szCs w:val="24"/>
        </w:rPr>
        <w:t>caracterizar el brote anormal de los terceros molares según variables epidemiológicas, clínicas y cefalométricas</w:t>
      </w:r>
      <w:r w:rsidR="00231902">
        <w:rPr>
          <w:rFonts w:ascii="Arial" w:hAnsi="Arial" w:cs="Arial"/>
          <w:sz w:val="24"/>
          <w:szCs w:val="24"/>
        </w:rPr>
        <w:t>.</w:t>
      </w:r>
      <w:r w:rsidR="00C139BB">
        <w:rPr>
          <w:rFonts w:ascii="Arial" w:hAnsi="Arial" w:cs="Arial"/>
          <w:sz w:val="24"/>
          <w:szCs w:val="24"/>
        </w:rPr>
        <w:t xml:space="preserve"> </w:t>
      </w:r>
      <w:r w:rsidRPr="006C68AE">
        <w:rPr>
          <w:rFonts w:ascii="Arial" w:hAnsi="Arial" w:cs="Arial"/>
          <w:b/>
          <w:color w:val="000000"/>
          <w:sz w:val="24"/>
          <w:szCs w:val="24"/>
        </w:rPr>
        <w:t>Métodos:</w:t>
      </w:r>
      <w:r w:rsidRPr="006C68AE">
        <w:rPr>
          <w:rFonts w:ascii="Arial" w:hAnsi="Arial" w:cs="Arial"/>
          <w:color w:val="000000"/>
          <w:sz w:val="24"/>
          <w:szCs w:val="24"/>
        </w:rPr>
        <w:t xml:space="preserve"> </w:t>
      </w:r>
      <w:r w:rsidR="00231902">
        <w:rPr>
          <w:rFonts w:ascii="Arial" w:hAnsi="Arial" w:cs="Arial"/>
          <w:sz w:val="24"/>
          <w:szCs w:val="24"/>
        </w:rPr>
        <w:t>s</w:t>
      </w:r>
      <w:r w:rsidR="00231902" w:rsidRPr="00AB21F8">
        <w:rPr>
          <w:rFonts w:ascii="Arial" w:hAnsi="Arial" w:cs="Arial"/>
          <w:sz w:val="24"/>
          <w:szCs w:val="24"/>
        </w:rPr>
        <w:t xml:space="preserve">e realizó un estudio observacional, descriptivo y transversal en la Clínica Estomatológica Provincial Docente “Mártires del Moncada” de Santiago de Cuba, desde noviembre de 2019 a febrero de 2020. </w:t>
      </w:r>
      <w:r w:rsidR="00231902" w:rsidRPr="00FB28DA">
        <w:rPr>
          <w:rFonts w:ascii="Arial" w:hAnsi="Arial" w:cs="Arial"/>
          <w:sz w:val="24"/>
          <w:szCs w:val="24"/>
        </w:rPr>
        <w:t>La población estuvo conformada por jóvenes de 18 a 25 años de edad</w:t>
      </w:r>
      <w:r w:rsidR="00231902">
        <w:rPr>
          <w:rFonts w:ascii="Arial" w:hAnsi="Arial" w:cs="Arial"/>
          <w:sz w:val="24"/>
          <w:szCs w:val="24"/>
        </w:rPr>
        <w:t>, estudiándose variables como sexo, color de la piel, brote anormal y otras cefalométricas.</w:t>
      </w:r>
      <w:r w:rsidR="00C74A35">
        <w:rPr>
          <w:rFonts w:ascii="Arial" w:hAnsi="Arial" w:cs="Arial"/>
          <w:sz w:val="24"/>
          <w:szCs w:val="24"/>
        </w:rPr>
        <w:t xml:space="preserve"> </w:t>
      </w:r>
      <w:r w:rsidRPr="006C68AE">
        <w:rPr>
          <w:rFonts w:ascii="Arial" w:hAnsi="Arial" w:cs="Arial"/>
          <w:b/>
          <w:color w:val="000000"/>
          <w:sz w:val="24"/>
          <w:szCs w:val="24"/>
        </w:rPr>
        <w:t>Resultados:</w:t>
      </w:r>
      <w:r w:rsidRPr="006C68AE">
        <w:rPr>
          <w:rFonts w:ascii="Arial" w:hAnsi="Arial" w:cs="Arial"/>
          <w:color w:val="000000"/>
          <w:sz w:val="24"/>
          <w:szCs w:val="24"/>
        </w:rPr>
        <w:t xml:space="preserve"> </w:t>
      </w:r>
      <w:r w:rsidR="00FE487C">
        <w:rPr>
          <w:rFonts w:ascii="Arial" w:hAnsi="Arial" w:cs="Arial"/>
          <w:sz w:val="24"/>
          <w:szCs w:val="24"/>
        </w:rPr>
        <w:t xml:space="preserve">predominó el sexo femenino y el color mestizo </w:t>
      </w:r>
      <w:r w:rsidR="00231902">
        <w:rPr>
          <w:rFonts w:ascii="Arial" w:hAnsi="Arial" w:cs="Arial"/>
          <w:sz w:val="24"/>
          <w:szCs w:val="24"/>
        </w:rPr>
        <w:t>(66,7</w:t>
      </w:r>
      <w:r w:rsidR="00FE487C">
        <w:rPr>
          <w:rFonts w:ascii="Arial" w:hAnsi="Arial" w:cs="Arial"/>
          <w:sz w:val="24"/>
          <w:szCs w:val="24"/>
        </w:rPr>
        <w:t xml:space="preserve"> y 52,4 </w:t>
      </w:r>
      <w:r w:rsidR="00231902">
        <w:rPr>
          <w:rFonts w:ascii="Arial" w:hAnsi="Arial" w:cs="Arial"/>
          <w:sz w:val="24"/>
          <w:szCs w:val="24"/>
        </w:rPr>
        <w:t>%</w:t>
      </w:r>
      <w:r w:rsidR="00FE487C">
        <w:rPr>
          <w:rFonts w:ascii="Arial" w:hAnsi="Arial" w:cs="Arial"/>
          <w:sz w:val="24"/>
          <w:szCs w:val="24"/>
        </w:rPr>
        <w:t xml:space="preserve"> respectivamente</w:t>
      </w:r>
      <w:r w:rsidR="00231902">
        <w:rPr>
          <w:rFonts w:ascii="Arial" w:hAnsi="Arial" w:cs="Arial"/>
          <w:sz w:val="24"/>
          <w:szCs w:val="24"/>
        </w:rPr>
        <w:t>)</w:t>
      </w:r>
      <w:r w:rsidR="00FE487C">
        <w:rPr>
          <w:rFonts w:ascii="Arial" w:hAnsi="Arial" w:cs="Arial"/>
          <w:sz w:val="24"/>
          <w:szCs w:val="24"/>
        </w:rPr>
        <w:t>. Se detectó un 78,6 %</w:t>
      </w:r>
      <w:r w:rsidR="00231902">
        <w:rPr>
          <w:rFonts w:ascii="Arial" w:hAnsi="Arial" w:cs="Arial"/>
          <w:sz w:val="24"/>
          <w:szCs w:val="24"/>
        </w:rPr>
        <w:t xml:space="preserve"> </w:t>
      </w:r>
      <w:r w:rsidR="00FE487C">
        <w:rPr>
          <w:rFonts w:ascii="Arial" w:hAnsi="Arial" w:cs="Arial"/>
          <w:sz w:val="24"/>
          <w:szCs w:val="24"/>
        </w:rPr>
        <w:t>de brote anormal</w:t>
      </w:r>
      <w:r w:rsidR="00231902">
        <w:rPr>
          <w:rFonts w:ascii="Arial" w:hAnsi="Arial" w:cs="Arial"/>
          <w:sz w:val="24"/>
          <w:szCs w:val="24"/>
        </w:rPr>
        <w:t xml:space="preserve">. </w:t>
      </w:r>
      <w:r w:rsidR="00231902">
        <w:rPr>
          <w:rFonts w:ascii="Arial" w:hAnsi="Arial" w:cs="Arial"/>
          <w:bCs/>
          <w:color w:val="000000"/>
          <w:sz w:val="24"/>
          <w:szCs w:val="24"/>
        </w:rPr>
        <w:t>L</w:t>
      </w:r>
      <w:r w:rsidR="00231902" w:rsidRPr="0032229B">
        <w:rPr>
          <w:rFonts w:ascii="Arial" w:hAnsi="Arial" w:cs="Arial"/>
          <w:bCs/>
          <w:color w:val="000000"/>
          <w:sz w:val="24"/>
          <w:szCs w:val="24"/>
        </w:rPr>
        <w:t xml:space="preserve">os promedios </w:t>
      </w:r>
      <w:r w:rsidR="00BA2329">
        <w:rPr>
          <w:rFonts w:ascii="Arial" w:hAnsi="Arial" w:cs="Arial"/>
          <w:bCs/>
          <w:color w:val="000000"/>
          <w:sz w:val="24"/>
          <w:szCs w:val="24"/>
        </w:rPr>
        <w:t>de las variables cefalométricas</w:t>
      </w:r>
      <w:r w:rsidR="00231902" w:rsidRPr="003222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A2329">
        <w:rPr>
          <w:rFonts w:ascii="Arial" w:hAnsi="Arial" w:cs="Arial"/>
          <w:bCs/>
          <w:color w:val="000000"/>
          <w:sz w:val="24"/>
          <w:szCs w:val="24"/>
        </w:rPr>
        <w:t>asociadas fueron:</w:t>
      </w:r>
      <w:r w:rsidR="00231902" w:rsidRPr="0032229B">
        <w:rPr>
          <w:rFonts w:ascii="Arial" w:hAnsi="Arial" w:cs="Arial"/>
          <w:bCs/>
          <w:color w:val="000000"/>
          <w:sz w:val="24"/>
          <w:szCs w:val="24"/>
        </w:rPr>
        <w:t xml:space="preserve"> de espacio óseo superior </w:t>
      </w:r>
      <w:r w:rsidR="00231902">
        <w:rPr>
          <w:rFonts w:ascii="Arial" w:hAnsi="Arial" w:cs="Arial"/>
          <w:bCs/>
          <w:color w:val="000000"/>
          <w:sz w:val="24"/>
          <w:szCs w:val="24"/>
        </w:rPr>
        <w:t>insuficiente</w:t>
      </w:r>
      <w:r w:rsidR="00231902" w:rsidRPr="003222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E487C">
        <w:rPr>
          <w:rFonts w:ascii="Arial" w:hAnsi="Arial" w:cs="Arial"/>
          <w:bCs/>
          <w:color w:val="000000"/>
          <w:sz w:val="24"/>
          <w:szCs w:val="24"/>
        </w:rPr>
        <w:t>iguales para los superiores</w:t>
      </w:r>
      <w:r w:rsidR="00BA2329">
        <w:rPr>
          <w:rFonts w:ascii="Arial" w:hAnsi="Arial" w:cs="Arial"/>
          <w:bCs/>
          <w:color w:val="000000"/>
          <w:sz w:val="24"/>
          <w:szCs w:val="24"/>
        </w:rPr>
        <w:t xml:space="preserve"> (25,9 mm)</w:t>
      </w:r>
      <w:r w:rsidR="00FE48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231902">
        <w:rPr>
          <w:rFonts w:ascii="Arial" w:hAnsi="Arial" w:cs="Arial"/>
          <w:bCs/>
          <w:color w:val="000000"/>
          <w:sz w:val="24"/>
          <w:szCs w:val="24"/>
        </w:rPr>
        <w:t xml:space="preserve">los de angulación inadecuada se </w:t>
      </w:r>
      <w:r w:rsidR="00FE487C">
        <w:rPr>
          <w:rFonts w:ascii="Arial" w:hAnsi="Arial" w:cs="Arial"/>
          <w:bCs/>
          <w:color w:val="000000"/>
          <w:sz w:val="24"/>
          <w:szCs w:val="24"/>
        </w:rPr>
        <w:t>destacó</w:t>
      </w:r>
      <w:r w:rsidR="00231902">
        <w:rPr>
          <w:rFonts w:ascii="Arial" w:hAnsi="Arial" w:cs="Arial"/>
          <w:bCs/>
          <w:color w:val="000000"/>
          <w:sz w:val="24"/>
          <w:szCs w:val="24"/>
        </w:rPr>
        <w:t xml:space="preserve"> en el </w:t>
      </w:r>
      <w:r w:rsidR="00FE487C">
        <w:rPr>
          <w:rFonts w:ascii="Arial" w:hAnsi="Arial" w:cs="Arial"/>
          <w:bCs/>
          <w:color w:val="000000"/>
          <w:sz w:val="24"/>
          <w:szCs w:val="24"/>
        </w:rPr>
        <w:t>superior izquierdo</w:t>
      </w:r>
      <w:r w:rsidR="00231902" w:rsidRPr="0032229B">
        <w:rPr>
          <w:rFonts w:ascii="Arial" w:hAnsi="Arial" w:cs="Arial"/>
          <w:bCs/>
          <w:color w:val="000000"/>
          <w:sz w:val="24"/>
          <w:szCs w:val="24"/>
        </w:rPr>
        <w:t xml:space="preserve"> (128,3º) </w:t>
      </w:r>
      <w:r w:rsidR="00231902">
        <w:rPr>
          <w:rFonts w:ascii="Arial" w:hAnsi="Arial" w:cs="Arial"/>
          <w:bCs/>
          <w:color w:val="000000"/>
          <w:sz w:val="24"/>
          <w:szCs w:val="24"/>
        </w:rPr>
        <w:t xml:space="preserve">y el diámetro mesiodistal inadecuado </w:t>
      </w:r>
      <w:r w:rsidR="00FE487C">
        <w:rPr>
          <w:rFonts w:ascii="Arial" w:hAnsi="Arial" w:cs="Arial"/>
          <w:bCs/>
          <w:color w:val="000000"/>
          <w:sz w:val="24"/>
          <w:szCs w:val="24"/>
        </w:rPr>
        <w:t>mayor en el inferior derecho</w:t>
      </w:r>
      <w:r w:rsidR="00147190" w:rsidRPr="001652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E487C">
        <w:rPr>
          <w:rFonts w:ascii="Arial" w:hAnsi="Arial" w:cs="Arial"/>
          <w:bCs/>
          <w:color w:val="000000"/>
          <w:sz w:val="24"/>
          <w:szCs w:val="24"/>
        </w:rPr>
        <w:t>(</w:t>
      </w:r>
      <w:r w:rsidR="00147190" w:rsidRPr="00165276">
        <w:rPr>
          <w:rFonts w:ascii="Arial" w:hAnsi="Arial" w:cs="Arial"/>
          <w:bCs/>
          <w:color w:val="000000"/>
          <w:sz w:val="24"/>
          <w:szCs w:val="24"/>
        </w:rPr>
        <w:t>15,7 mm</w:t>
      </w:r>
      <w:r w:rsidR="00FE487C">
        <w:rPr>
          <w:rFonts w:ascii="Arial" w:hAnsi="Arial" w:cs="Arial"/>
          <w:bCs/>
          <w:color w:val="000000"/>
          <w:sz w:val="24"/>
          <w:szCs w:val="24"/>
        </w:rPr>
        <w:t>)</w:t>
      </w:r>
      <w:r w:rsidR="00147190">
        <w:rPr>
          <w:rFonts w:ascii="Arial" w:hAnsi="Arial" w:cs="Arial"/>
          <w:bCs/>
          <w:color w:val="000000"/>
          <w:sz w:val="24"/>
          <w:szCs w:val="24"/>
        </w:rPr>
        <w:t>.</w:t>
      </w:r>
      <w:r w:rsidR="00C139B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C68AE">
        <w:rPr>
          <w:rFonts w:ascii="Arial" w:hAnsi="Arial" w:cs="Arial"/>
          <w:b/>
          <w:color w:val="000000"/>
          <w:sz w:val="24"/>
          <w:szCs w:val="24"/>
        </w:rPr>
        <w:t xml:space="preserve">Conclusiones: </w:t>
      </w:r>
      <w:r w:rsidR="00147190">
        <w:rPr>
          <w:rFonts w:ascii="Arial" w:hAnsi="Arial" w:cs="Arial"/>
          <w:sz w:val="24"/>
          <w:szCs w:val="24"/>
        </w:rPr>
        <w:t>el brote anormal de los terceros molares se caracteriza por afectar a féminas y a individuos con color de la piel mestizos; así como observarse fundamentalmente en molares inferiores con espacios óseos posteriores reducidos, mesioangulaciones y diámetros mesiodistales considerables.</w:t>
      </w:r>
    </w:p>
    <w:p w14:paraId="0EF98680" w14:textId="77777777" w:rsidR="006C68AE" w:rsidRPr="006C68AE" w:rsidRDefault="006C68AE" w:rsidP="00147190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C68AE">
        <w:rPr>
          <w:rFonts w:ascii="Arial" w:hAnsi="Arial" w:cs="Arial"/>
          <w:b/>
          <w:sz w:val="24"/>
          <w:szCs w:val="24"/>
        </w:rPr>
        <w:t>Palabras clave:</w:t>
      </w:r>
      <w:r w:rsidRPr="006C68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tercer molar, brote dentario, diente retenido, cefalometría, Ortodoncia</w:t>
      </w:r>
    </w:p>
    <w:p w14:paraId="15A98A36" w14:textId="77777777" w:rsidR="00E837F6" w:rsidRDefault="00BE15C0" w:rsidP="00E837F6">
      <w:pPr>
        <w:spacing w:after="0" w:line="360" w:lineRule="auto"/>
        <w:ind w:right="48"/>
        <w:jc w:val="both"/>
        <w:rPr>
          <w:rFonts w:ascii="Arial" w:hAnsi="Arial" w:cs="Arial"/>
          <w:b/>
          <w:sz w:val="24"/>
          <w:szCs w:val="24"/>
        </w:rPr>
      </w:pPr>
      <w:r w:rsidRPr="00662847">
        <w:rPr>
          <w:rFonts w:ascii="Arial" w:hAnsi="Arial" w:cs="Arial"/>
          <w:b/>
          <w:sz w:val="24"/>
          <w:szCs w:val="24"/>
        </w:rPr>
        <w:lastRenderedPageBreak/>
        <w:t>INTRODUCCIÓN</w:t>
      </w:r>
    </w:p>
    <w:p w14:paraId="2427E574" w14:textId="77777777" w:rsidR="0099333F" w:rsidRPr="0099333F" w:rsidRDefault="004A718C" w:rsidP="0045513F">
      <w:pPr>
        <w:spacing w:after="0" w:line="360" w:lineRule="auto"/>
        <w:ind w:right="48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5E0871">
        <w:rPr>
          <w:rFonts w:ascii="Arial" w:hAnsi="Arial" w:cs="Arial"/>
          <w:color w:val="000000" w:themeColor="text1"/>
          <w:sz w:val="24"/>
          <w:szCs w:val="24"/>
        </w:rPr>
        <w:t>El brote dental o erupción se define como la salida de cada uno de los dientes en la cavidad bucal, ya sea durante la dentición temporal o permanente; proceso por el cual el diente emerge en la boca y alcanza el plano de oclusión</w:t>
      </w:r>
      <w:r w:rsidR="00903618">
        <w:rPr>
          <w:rFonts w:ascii="Arial" w:hAnsi="Arial" w:cs="Arial"/>
          <w:color w:val="000000" w:themeColor="text1"/>
          <w:sz w:val="24"/>
          <w:szCs w:val="24"/>
        </w:rPr>
        <w:t>.</w:t>
      </w:r>
      <w:r w:rsidR="00707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(1)</w:t>
      </w:r>
      <w:r w:rsidR="0045513F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903618">
        <w:rPr>
          <w:rFonts w:ascii="Arial" w:hAnsi="Arial" w:cs="Arial"/>
          <w:color w:val="000000" w:themeColor="text1"/>
          <w:sz w:val="24"/>
          <w:szCs w:val="24"/>
        </w:rPr>
        <w:t>Diferentes investigaciones han descrito</w:t>
      </w:r>
      <w:r w:rsidR="00606833" w:rsidRPr="005E0871">
        <w:rPr>
          <w:rFonts w:ascii="Arial" w:hAnsi="Arial" w:cs="Arial"/>
          <w:color w:val="000000" w:themeColor="text1"/>
          <w:sz w:val="24"/>
          <w:szCs w:val="24"/>
        </w:rPr>
        <w:t xml:space="preserve"> las formas y mecanismos por los cuales se produce el brote dentario y aunque no se ha consensuado una teoría que los explique definitivamente, sí se han formulado varias</w:t>
      </w:r>
      <w:r w:rsidR="00606833">
        <w:rPr>
          <w:rFonts w:ascii="Arial" w:hAnsi="Arial" w:cs="Arial"/>
          <w:color w:val="000000" w:themeColor="text1"/>
          <w:sz w:val="24"/>
          <w:szCs w:val="24"/>
        </w:rPr>
        <w:t xml:space="preserve"> destacándose la </w:t>
      </w:r>
      <w:r w:rsidR="00903618">
        <w:rPr>
          <w:rFonts w:ascii="Arial" w:hAnsi="Arial" w:cs="Arial"/>
          <w:color w:val="000000" w:themeColor="text1"/>
          <w:sz w:val="24"/>
          <w:szCs w:val="24"/>
        </w:rPr>
        <w:t xml:space="preserve">de aposición y reabsorción ósea asegurándose </w:t>
      </w:r>
      <w:r w:rsidR="0099333F" w:rsidRPr="005E0871">
        <w:rPr>
          <w:rFonts w:ascii="Arial" w:hAnsi="Arial" w:cs="Arial"/>
          <w:color w:val="000000" w:themeColor="text1"/>
          <w:sz w:val="24"/>
          <w:szCs w:val="24"/>
        </w:rPr>
        <w:t>que crearían una fuerza eruptiva; aunque se ha encontrado que la inhibición del desarrollo celular en esta zona, no introduce cambios en el proceso eruptivo</w:t>
      </w:r>
      <w:r w:rsidR="0099333F">
        <w:rPr>
          <w:rFonts w:ascii="Arial" w:hAnsi="Arial" w:cs="Arial"/>
          <w:color w:val="000000" w:themeColor="text1"/>
          <w:sz w:val="24"/>
          <w:szCs w:val="24"/>
        </w:rPr>
        <w:t>.</w:t>
      </w:r>
      <w:r w:rsidR="009C4C9B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r w:rsidR="005F3EC9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9C4C9B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 w:rsidR="009933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99A5095" w14:textId="77777777" w:rsidR="00B138AA" w:rsidRPr="002D122B" w:rsidRDefault="0099333F" w:rsidP="000A5533">
      <w:pPr>
        <w:pStyle w:val="Prrafodelista"/>
        <w:spacing w:after="0" w:line="360" w:lineRule="auto"/>
        <w:ind w:left="0" w:right="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 relación a los terceros molares, el proceso de brote o erupción aún no está del todo explicado, se señala que d</w:t>
      </w:r>
      <w:r w:rsidRPr="005E0871">
        <w:rPr>
          <w:rFonts w:ascii="Arial" w:hAnsi="Arial" w:cs="Arial"/>
          <w:color w:val="000000" w:themeColor="text1"/>
          <w:sz w:val="24"/>
          <w:szCs w:val="24"/>
        </w:rPr>
        <w:t xml:space="preserve">urante su erupción por cualquiera de los mecanismos </w:t>
      </w:r>
      <w:r>
        <w:rPr>
          <w:rFonts w:ascii="Arial" w:hAnsi="Arial" w:cs="Arial"/>
          <w:color w:val="000000" w:themeColor="text1"/>
          <w:sz w:val="24"/>
          <w:szCs w:val="24"/>
        </w:rPr>
        <w:t>descrito</w:t>
      </w:r>
      <w:r w:rsidRPr="005E0871">
        <w:rPr>
          <w:rFonts w:ascii="Arial" w:hAnsi="Arial" w:cs="Arial"/>
          <w:color w:val="000000" w:themeColor="text1"/>
          <w:sz w:val="24"/>
          <w:szCs w:val="24"/>
        </w:rPr>
        <w:t>s, son capaces de provocar diferentes accidentes o complica</w:t>
      </w:r>
      <w:r w:rsidR="002A2D06">
        <w:rPr>
          <w:rFonts w:ascii="Arial" w:hAnsi="Arial" w:cs="Arial"/>
          <w:color w:val="000000" w:themeColor="text1"/>
          <w:sz w:val="24"/>
          <w:szCs w:val="24"/>
        </w:rPr>
        <w:t xml:space="preserve">ciones mientras están </w:t>
      </w:r>
      <w:proofErr w:type="gramStart"/>
      <w:r w:rsidR="002A2D06">
        <w:rPr>
          <w:rFonts w:ascii="Arial" w:hAnsi="Arial" w:cs="Arial"/>
          <w:color w:val="000000" w:themeColor="text1"/>
          <w:sz w:val="24"/>
          <w:szCs w:val="24"/>
        </w:rPr>
        <w:t>retenidos</w:t>
      </w:r>
      <w:r w:rsidR="00CF3D07">
        <w:rPr>
          <w:rFonts w:ascii="Arial" w:hAnsi="Arial" w:cs="Arial"/>
          <w:color w:val="000000" w:themeColor="text1"/>
          <w:sz w:val="24"/>
          <w:szCs w:val="24"/>
        </w:rPr>
        <w:t>.</w:t>
      </w:r>
      <w:r w:rsidR="00CF3D07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proofErr w:type="gramEnd"/>
      <w:r w:rsidR="005F3EC9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="00CF3D07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 w:rsidR="002A2D06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Pr="005E0871">
        <w:rPr>
          <w:rFonts w:ascii="Arial" w:hAnsi="Arial" w:cs="Arial"/>
          <w:color w:val="000000" w:themeColor="text1"/>
          <w:sz w:val="24"/>
          <w:szCs w:val="24"/>
        </w:rPr>
        <w:t>Estas complicaciones o accidentes son producidos cuando estos dientes no erupcionan normalmente</w:t>
      </w:r>
      <w:r w:rsidR="002A2D06">
        <w:rPr>
          <w:rFonts w:ascii="Arial" w:hAnsi="Arial" w:cs="Arial"/>
          <w:color w:val="000000" w:themeColor="text1"/>
          <w:sz w:val="24"/>
          <w:szCs w:val="24"/>
        </w:rPr>
        <w:t>; proceso que es multifactorial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  <w:r w:rsidR="00DD4550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r w:rsidR="005F3EC9">
        <w:rPr>
          <w:rFonts w:ascii="Arial" w:hAnsi="Arial" w:cs="Arial"/>
          <w:color w:val="000000" w:themeColor="text1"/>
          <w:sz w:val="24"/>
          <w:szCs w:val="24"/>
          <w:vertAlign w:val="superscript"/>
        </w:rPr>
        <w:t>1-3</w:t>
      </w:r>
      <w:r w:rsidR="00DD4550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fenómeno que algunos estudiosos del tema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r w:rsidR="005F3EC9">
        <w:rPr>
          <w:rFonts w:ascii="Arial" w:hAnsi="Arial" w:cs="Arial"/>
          <w:color w:val="000000" w:themeColor="text1"/>
          <w:sz w:val="24"/>
          <w:szCs w:val="24"/>
          <w:vertAlign w:val="superscript"/>
        </w:rPr>
        <w:t>4-7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han asumido como brote anormal.</w:t>
      </w:r>
      <w:r w:rsidR="00B950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2D06">
        <w:rPr>
          <w:rFonts w:ascii="Arial" w:hAnsi="Arial" w:cs="Arial"/>
          <w:color w:val="000000" w:themeColor="text1"/>
          <w:sz w:val="24"/>
          <w:szCs w:val="24"/>
        </w:rPr>
        <w:t>Los estudios relacionados con este fenómeno ha hecho énfasis en la edad en que suele por lo general hacer aparición en cavidad bucal los terceros molares,</w:t>
      </w:r>
      <w:r w:rsidR="002A2D06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r w:rsidR="005F3EC9">
        <w:rPr>
          <w:rFonts w:ascii="Arial" w:hAnsi="Arial" w:cs="Arial"/>
          <w:color w:val="000000" w:themeColor="text1"/>
          <w:sz w:val="24"/>
          <w:szCs w:val="24"/>
          <w:vertAlign w:val="superscript"/>
        </w:rPr>
        <w:t>1,4,6</w:t>
      </w:r>
      <w:r w:rsidR="002A2D06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) </w:t>
      </w:r>
      <w:r w:rsidR="002A2D06" w:rsidRPr="002A2D06">
        <w:rPr>
          <w:rFonts w:ascii="Arial" w:hAnsi="Arial" w:cs="Arial"/>
          <w:color w:val="000000" w:themeColor="text1"/>
          <w:sz w:val="24"/>
          <w:szCs w:val="24"/>
        </w:rPr>
        <w:t>a la</w:t>
      </w:r>
      <w:r w:rsidR="002A2D06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2A2D06">
        <w:rPr>
          <w:rFonts w:ascii="Arial" w:hAnsi="Arial" w:cs="Arial"/>
          <w:sz w:val="24"/>
          <w:szCs w:val="24"/>
        </w:rPr>
        <w:t>frecuencia de ese brote anormal (</w:t>
      </w:r>
      <w:r w:rsidR="002A2D06" w:rsidRPr="000A44BA">
        <w:rPr>
          <w:rFonts w:ascii="Arial" w:hAnsi="Arial" w:cs="Arial"/>
          <w:sz w:val="24"/>
          <w:szCs w:val="24"/>
        </w:rPr>
        <w:t>9,5 y 39 %</w:t>
      </w:r>
      <w:r w:rsidR="002A2D06">
        <w:rPr>
          <w:rFonts w:ascii="Arial" w:hAnsi="Arial" w:cs="Arial"/>
          <w:sz w:val="24"/>
          <w:szCs w:val="24"/>
        </w:rPr>
        <w:t>)</w:t>
      </w:r>
      <w:r w:rsidR="002A2D06" w:rsidRPr="000A44BA">
        <w:rPr>
          <w:rFonts w:ascii="Arial" w:hAnsi="Arial" w:cs="Arial"/>
          <w:sz w:val="24"/>
          <w:szCs w:val="24"/>
        </w:rPr>
        <w:t>,</w:t>
      </w:r>
      <w:r w:rsidR="002A2D06">
        <w:rPr>
          <w:rFonts w:ascii="Arial" w:hAnsi="Arial" w:cs="Arial"/>
          <w:sz w:val="24"/>
          <w:szCs w:val="24"/>
          <w:vertAlign w:val="superscript"/>
        </w:rPr>
        <w:t>(</w:t>
      </w:r>
      <w:r w:rsidR="005F3EC9">
        <w:rPr>
          <w:rFonts w:ascii="Arial" w:hAnsi="Arial" w:cs="Arial"/>
          <w:sz w:val="24"/>
          <w:szCs w:val="24"/>
          <w:vertAlign w:val="superscript"/>
        </w:rPr>
        <w:t>4,7,8</w:t>
      </w:r>
      <w:r w:rsidR="002A2D06">
        <w:rPr>
          <w:rFonts w:ascii="Arial" w:hAnsi="Arial" w:cs="Arial"/>
          <w:sz w:val="24"/>
          <w:szCs w:val="24"/>
          <w:vertAlign w:val="superscript"/>
        </w:rPr>
        <w:t xml:space="preserve">) </w:t>
      </w:r>
      <w:r w:rsidR="002A2D06">
        <w:rPr>
          <w:rFonts w:ascii="Arial" w:hAnsi="Arial" w:cs="Arial"/>
          <w:sz w:val="24"/>
          <w:szCs w:val="24"/>
        </w:rPr>
        <w:t>a las causas asociadas (</w:t>
      </w:r>
      <w:r w:rsidR="002A2D06">
        <w:rPr>
          <w:rFonts w:ascii="Arial" w:hAnsi="Arial" w:cs="Arial"/>
          <w:color w:val="000000" w:themeColor="text1"/>
          <w:sz w:val="24"/>
          <w:szCs w:val="24"/>
        </w:rPr>
        <w:t xml:space="preserve">destacando factores locales como </w:t>
      </w:r>
      <w:r w:rsidR="002A2D06" w:rsidRPr="005E0871">
        <w:rPr>
          <w:rFonts w:ascii="Arial" w:hAnsi="Arial" w:cs="Arial"/>
          <w:color w:val="000000" w:themeColor="text1"/>
          <w:sz w:val="24"/>
          <w:szCs w:val="24"/>
        </w:rPr>
        <w:t>falta de espacio, dientes supernumerarios, quistes y tumores, entre otros)</w:t>
      </w:r>
      <w:r w:rsidR="002A2D06">
        <w:rPr>
          <w:rFonts w:ascii="Arial" w:hAnsi="Arial" w:cs="Arial"/>
          <w:color w:val="000000" w:themeColor="text1"/>
          <w:sz w:val="24"/>
          <w:szCs w:val="24"/>
        </w:rPr>
        <w:t>,</w:t>
      </w:r>
      <w:r w:rsidR="002A2D06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r w:rsidR="005F3EC9">
        <w:rPr>
          <w:rFonts w:ascii="Arial" w:hAnsi="Arial" w:cs="Arial"/>
          <w:color w:val="000000" w:themeColor="text1"/>
          <w:sz w:val="24"/>
          <w:szCs w:val="24"/>
          <w:vertAlign w:val="superscript"/>
        </w:rPr>
        <w:t>9</w:t>
      </w:r>
      <w:r w:rsidR="002A2D06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) </w:t>
      </w:r>
      <w:r w:rsidR="002A2D06">
        <w:rPr>
          <w:rFonts w:ascii="Arial" w:hAnsi="Arial" w:cs="Arial"/>
          <w:color w:val="000000" w:themeColor="text1"/>
          <w:sz w:val="24"/>
          <w:szCs w:val="24"/>
        </w:rPr>
        <w:t xml:space="preserve">así como </w:t>
      </w:r>
      <w:r w:rsidR="002A2D06">
        <w:rPr>
          <w:rFonts w:ascii="Arial" w:hAnsi="Arial" w:cs="Arial"/>
          <w:sz w:val="24"/>
          <w:szCs w:val="24"/>
        </w:rPr>
        <w:t>a aspectos cefalométricos que se identifican con esta condición (espacio óseo posterior insuficiente, diámetro mesiodistal y angulación inadecuadas).</w:t>
      </w:r>
      <w:r w:rsidR="002A2D06">
        <w:rPr>
          <w:rFonts w:ascii="Arial" w:hAnsi="Arial" w:cs="Arial"/>
          <w:sz w:val="24"/>
          <w:szCs w:val="24"/>
          <w:vertAlign w:val="superscript"/>
        </w:rPr>
        <w:t>(</w:t>
      </w:r>
      <w:r w:rsidR="005F3EC9">
        <w:rPr>
          <w:rFonts w:ascii="Arial" w:hAnsi="Arial" w:cs="Arial"/>
          <w:sz w:val="24"/>
          <w:szCs w:val="24"/>
          <w:vertAlign w:val="superscript"/>
        </w:rPr>
        <w:t>4,7,10</w:t>
      </w:r>
      <w:r w:rsidR="002A2D06">
        <w:rPr>
          <w:rFonts w:ascii="Arial" w:hAnsi="Arial" w:cs="Arial"/>
          <w:sz w:val="24"/>
          <w:szCs w:val="24"/>
          <w:vertAlign w:val="superscript"/>
        </w:rPr>
        <w:t>)</w:t>
      </w:r>
      <w:r w:rsidR="0045513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A2D06">
        <w:rPr>
          <w:rFonts w:ascii="Arial" w:hAnsi="Arial" w:cs="Arial"/>
          <w:sz w:val="24"/>
          <w:szCs w:val="24"/>
        </w:rPr>
        <w:t>Debido a que la mayoría</w:t>
      </w:r>
      <w:r w:rsidR="00B95078" w:rsidRPr="00B95078">
        <w:rPr>
          <w:rFonts w:ascii="Arial" w:hAnsi="Arial" w:cs="Arial"/>
          <w:sz w:val="24"/>
          <w:szCs w:val="24"/>
        </w:rPr>
        <w:t xml:space="preserve"> fueron realizados en diferentes edades y grupos poblacionales diversos en cuanto a etnia y condiciones  </w:t>
      </w:r>
      <w:r w:rsidR="00B95078">
        <w:rPr>
          <w:rFonts w:ascii="Arial" w:hAnsi="Arial" w:cs="Arial"/>
          <w:sz w:val="24"/>
          <w:szCs w:val="24"/>
        </w:rPr>
        <w:t>ambientales, además de que los cubanos</w:t>
      </w:r>
      <w:r w:rsidR="002A2D06">
        <w:rPr>
          <w:rFonts w:ascii="Arial" w:hAnsi="Arial" w:cs="Arial"/>
          <w:sz w:val="24"/>
          <w:szCs w:val="24"/>
        </w:rPr>
        <w:t xml:space="preserve"> y santiagueros son aún escasos; </w:t>
      </w:r>
      <w:r w:rsidR="00B95078">
        <w:rPr>
          <w:rFonts w:ascii="Arial" w:hAnsi="Arial" w:cs="Arial"/>
          <w:sz w:val="24"/>
          <w:szCs w:val="24"/>
        </w:rPr>
        <w:t>surge la siguiente interrogante que constituye el problema científico de la presente investigación: ¿qué características epidemiológicas, clínicas y cefalométricas se asocian al brote anormal de los terceros molares?</w:t>
      </w:r>
      <w:r w:rsidR="0045513F">
        <w:rPr>
          <w:rFonts w:ascii="Arial" w:hAnsi="Arial" w:cs="Arial"/>
          <w:sz w:val="24"/>
          <w:szCs w:val="24"/>
        </w:rPr>
        <w:t xml:space="preserve"> </w:t>
      </w:r>
      <w:r w:rsidR="002A2D06">
        <w:rPr>
          <w:rFonts w:ascii="Arial" w:hAnsi="Arial" w:cs="Arial"/>
          <w:sz w:val="24"/>
          <w:szCs w:val="24"/>
        </w:rPr>
        <w:t>Por todo lo anteriormente expuesto, se realiza</w:t>
      </w:r>
      <w:r w:rsidR="002D122B" w:rsidRPr="002D122B">
        <w:rPr>
          <w:rFonts w:ascii="Arial" w:hAnsi="Arial" w:cs="Arial"/>
          <w:sz w:val="24"/>
          <w:szCs w:val="24"/>
        </w:rPr>
        <w:t xml:space="preserve"> la presente investigación </w:t>
      </w:r>
      <w:r w:rsidR="002A2D06">
        <w:rPr>
          <w:rFonts w:ascii="Arial" w:hAnsi="Arial" w:cs="Arial"/>
          <w:sz w:val="24"/>
          <w:szCs w:val="24"/>
        </w:rPr>
        <w:t>con el</w:t>
      </w:r>
      <w:r w:rsidR="002D122B" w:rsidRPr="002D122B">
        <w:rPr>
          <w:rFonts w:ascii="Arial" w:hAnsi="Arial" w:cs="Arial"/>
          <w:sz w:val="24"/>
          <w:szCs w:val="24"/>
        </w:rPr>
        <w:t xml:space="preserve"> objetivo: caracterizar el brote anormal de los terceros molares según variables epidemiológicas, clínicas y cefalométricas.</w:t>
      </w:r>
    </w:p>
    <w:p w14:paraId="20123BDF" w14:textId="77777777" w:rsidR="00662847" w:rsidRDefault="00BE15C0" w:rsidP="00BE15C0">
      <w:pPr>
        <w:spacing w:before="240" w:after="0" w:line="360" w:lineRule="auto"/>
        <w:ind w:right="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MÉTODOS</w:t>
      </w:r>
    </w:p>
    <w:p w14:paraId="768FA862" w14:textId="77777777" w:rsidR="003E3552" w:rsidRDefault="00126629" w:rsidP="006C49BB">
      <w:pPr>
        <w:spacing w:after="0" w:line="360" w:lineRule="auto"/>
        <w:ind w:right="48"/>
        <w:jc w:val="both"/>
        <w:rPr>
          <w:rFonts w:ascii="Arial" w:hAnsi="Arial" w:cs="Arial"/>
          <w:sz w:val="24"/>
          <w:szCs w:val="24"/>
        </w:rPr>
      </w:pPr>
      <w:r w:rsidRPr="00AB21F8">
        <w:rPr>
          <w:rFonts w:ascii="Arial" w:hAnsi="Arial" w:cs="Arial"/>
          <w:sz w:val="24"/>
          <w:szCs w:val="24"/>
        </w:rPr>
        <w:t xml:space="preserve">Se realizó un estudio observacional, descriptivo y transversal en </w:t>
      </w:r>
      <w:r w:rsidR="00AB21F8" w:rsidRPr="00AB21F8">
        <w:rPr>
          <w:rFonts w:ascii="Arial" w:hAnsi="Arial" w:cs="Arial"/>
          <w:sz w:val="24"/>
          <w:szCs w:val="24"/>
        </w:rPr>
        <w:t xml:space="preserve">la Clínica Estomatológica Provincial Docente </w:t>
      </w:r>
      <w:r w:rsidRPr="00AB21F8">
        <w:rPr>
          <w:rFonts w:ascii="Arial" w:hAnsi="Arial" w:cs="Arial"/>
          <w:sz w:val="24"/>
          <w:szCs w:val="24"/>
        </w:rPr>
        <w:t>“</w:t>
      </w:r>
      <w:r w:rsidR="00AB21F8" w:rsidRPr="00AB21F8">
        <w:rPr>
          <w:rFonts w:ascii="Arial" w:hAnsi="Arial" w:cs="Arial"/>
          <w:sz w:val="24"/>
          <w:szCs w:val="24"/>
        </w:rPr>
        <w:t>Mártires del Moncada</w:t>
      </w:r>
      <w:r w:rsidRPr="00AB21F8">
        <w:rPr>
          <w:rFonts w:ascii="Arial" w:hAnsi="Arial" w:cs="Arial"/>
          <w:sz w:val="24"/>
          <w:szCs w:val="24"/>
        </w:rPr>
        <w:t xml:space="preserve">” de Santiago de Cuba, desde </w:t>
      </w:r>
      <w:r w:rsidR="00AB21F8" w:rsidRPr="00AB21F8">
        <w:rPr>
          <w:rFonts w:ascii="Arial" w:hAnsi="Arial" w:cs="Arial"/>
          <w:sz w:val="24"/>
          <w:szCs w:val="24"/>
        </w:rPr>
        <w:lastRenderedPageBreak/>
        <w:t>noviembre de 2019 a febrero de 2020</w:t>
      </w:r>
      <w:r w:rsidRPr="00AB21F8">
        <w:rPr>
          <w:rFonts w:ascii="Arial" w:hAnsi="Arial" w:cs="Arial"/>
          <w:sz w:val="24"/>
          <w:szCs w:val="24"/>
        </w:rPr>
        <w:t xml:space="preserve">. </w:t>
      </w:r>
      <w:r w:rsidR="00662EBC" w:rsidRPr="00FB28DA">
        <w:rPr>
          <w:rFonts w:ascii="Arial" w:hAnsi="Arial" w:cs="Arial"/>
          <w:sz w:val="24"/>
          <w:szCs w:val="24"/>
        </w:rPr>
        <w:t xml:space="preserve">La población estuvo conformada por jóvenes de </w:t>
      </w:r>
      <w:r w:rsidR="005A46B0" w:rsidRPr="00FB28DA">
        <w:rPr>
          <w:rFonts w:ascii="Arial" w:hAnsi="Arial" w:cs="Arial"/>
          <w:sz w:val="24"/>
          <w:szCs w:val="24"/>
        </w:rPr>
        <w:t>18 a 25 años de edad,</w:t>
      </w:r>
      <w:r w:rsidR="005A46B0" w:rsidRPr="005A46B0">
        <w:rPr>
          <w:rFonts w:ascii="Arial" w:hAnsi="Arial" w:cs="Arial"/>
          <w:b/>
          <w:sz w:val="24"/>
          <w:szCs w:val="24"/>
        </w:rPr>
        <w:t xml:space="preserve"> </w:t>
      </w:r>
      <w:r w:rsidR="005A46B0" w:rsidRPr="005A46B0">
        <w:rPr>
          <w:rFonts w:ascii="Arial" w:hAnsi="Arial" w:cs="Arial"/>
          <w:sz w:val="24"/>
          <w:szCs w:val="24"/>
        </w:rPr>
        <w:t xml:space="preserve">sanos con todos los dientes permanentes y terceros molares a partir de la etapa VI según de esquema de maduración de </w:t>
      </w:r>
      <w:proofErr w:type="gramStart"/>
      <w:r w:rsidR="005A46B0" w:rsidRPr="005A46B0">
        <w:rPr>
          <w:rFonts w:ascii="Arial" w:hAnsi="Arial" w:cs="Arial"/>
          <w:sz w:val="24"/>
          <w:szCs w:val="24"/>
        </w:rPr>
        <w:t>González</w:t>
      </w:r>
      <w:r w:rsidR="00AD74E5">
        <w:rPr>
          <w:rFonts w:ascii="Arial" w:hAnsi="Arial" w:cs="Arial"/>
          <w:sz w:val="24"/>
          <w:szCs w:val="24"/>
        </w:rPr>
        <w:t>.</w:t>
      </w:r>
      <w:r w:rsidR="005A46B0" w:rsidRPr="005A46B0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45513F">
        <w:rPr>
          <w:rFonts w:ascii="Arial" w:hAnsi="Arial" w:cs="Arial"/>
          <w:sz w:val="24"/>
          <w:szCs w:val="24"/>
          <w:vertAlign w:val="superscript"/>
        </w:rPr>
        <w:t>4</w:t>
      </w:r>
      <w:r w:rsidR="005A46B0" w:rsidRPr="005A46B0">
        <w:rPr>
          <w:rFonts w:ascii="Arial" w:hAnsi="Arial" w:cs="Arial"/>
          <w:sz w:val="24"/>
          <w:szCs w:val="24"/>
          <w:vertAlign w:val="superscript"/>
        </w:rPr>
        <w:t>)</w:t>
      </w:r>
      <w:r w:rsidR="005A46B0" w:rsidRPr="005A46B0">
        <w:rPr>
          <w:rFonts w:ascii="Arial" w:hAnsi="Arial" w:cs="Arial"/>
          <w:sz w:val="24"/>
          <w:szCs w:val="24"/>
        </w:rPr>
        <w:t xml:space="preserve"> </w:t>
      </w:r>
      <w:r w:rsidR="005A46B0">
        <w:rPr>
          <w:rFonts w:ascii="Arial" w:hAnsi="Arial" w:cs="Arial"/>
          <w:sz w:val="24"/>
          <w:szCs w:val="24"/>
        </w:rPr>
        <w:t>Con estas características fue posible reclutar una muestra aleatoria de 21.</w:t>
      </w:r>
      <w:r w:rsidR="000A5533">
        <w:rPr>
          <w:rFonts w:ascii="Arial" w:hAnsi="Arial" w:cs="Arial"/>
          <w:sz w:val="24"/>
          <w:szCs w:val="24"/>
        </w:rPr>
        <w:t xml:space="preserve"> </w:t>
      </w:r>
      <w:r w:rsidR="005A46B0">
        <w:rPr>
          <w:rFonts w:ascii="Arial" w:hAnsi="Arial" w:cs="Arial"/>
          <w:sz w:val="24"/>
          <w:szCs w:val="24"/>
        </w:rPr>
        <w:t xml:space="preserve">Las variables estudiadas fueron </w:t>
      </w:r>
      <w:r w:rsidRPr="00FB28DA">
        <w:rPr>
          <w:rFonts w:ascii="Arial" w:hAnsi="Arial" w:cs="Arial"/>
          <w:sz w:val="24"/>
          <w:szCs w:val="24"/>
        </w:rPr>
        <w:t xml:space="preserve">epidemiológicas como </w:t>
      </w:r>
      <w:r w:rsidR="005A46B0" w:rsidRPr="00FB28DA">
        <w:rPr>
          <w:rFonts w:ascii="Arial" w:hAnsi="Arial" w:cs="Arial"/>
          <w:sz w:val="24"/>
          <w:szCs w:val="24"/>
        </w:rPr>
        <w:t xml:space="preserve">el </w:t>
      </w:r>
      <w:r w:rsidRPr="00FB28DA">
        <w:rPr>
          <w:rFonts w:ascii="Arial" w:hAnsi="Arial" w:cs="Arial"/>
          <w:sz w:val="24"/>
          <w:szCs w:val="24"/>
        </w:rPr>
        <w:t xml:space="preserve">sexo (en sus dos categorías biológicas: </w:t>
      </w:r>
      <w:r w:rsidR="005A46B0" w:rsidRPr="00FB28DA">
        <w:rPr>
          <w:rFonts w:ascii="Arial" w:hAnsi="Arial" w:cs="Arial"/>
          <w:sz w:val="24"/>
          <w:szCs w:val="24"/>
        </w:rPr>
        <w:t>femenino y masculino)</w:t>
      </w:r>
      <w:r w:rsidRPr="00FB28DA">
        <w:rPr>
          <w:rFonts w:ascii="Arial" w:hAnsi="Arial" w:cs="Arial"/>
          <w:sz w:val="24"/>
          <w:szCs w:val="24"/>
        </w:rPr>
        <w:t xml:space="preserve"> </w:t>
      </w:r>
      <w:r w:rsidR="005A46B0" w:rsidRPr="00FB28DA">
        <w:rPr>
          <w:rFonts w:ascii="Arial" w:hAnsi="Arial" w:cs="Arial"/>
          <w:sz w:val="24"/>
          <w:szCs w:val="24"/>
        </w:rPr>
        <w:t xml:space="preserve">y </w:t>
      </w:r>
      <w:r w:rsidRPr="00FB28DA">
        <w:rPr>
          <w:rFonts w:ascii="Arial" w:hAnsi="Arial" w:cs="Arial"/>
          <w:sz w:val="24"/>
          <w:szCs w:val="24"/>
        </w:rPr>
        <w:t>color de piel (blanco, negro, mestizo)</w:t>
      </w:r>
      <w:r w:rsidR="005A46B0" w:rsidRPr="00FB28DA">
        <w:rPr>
          <w:rFonts w:ascii="Arial" w:hAnsi="Arial" w:cs="Arial"/>
          <w:sz w:val="24"/>
          <w:szCs w:val="24"/>
        </w:rPr>
        <w:t>;</w:t>
      </w:r>
      <w:r w:rsidRPr="00FB28DA">
        <w:rPr>
          <w:rFonts w:ascii="Arial" w:hAnsi="Arial" w:cs="Arial"/>
          <w:sz w:val="24"/>
          <w:szCs w:val="24"/>
        </w:rPr>
        <w:t xml:space="preserve"> clínicas como la localización de los terceros molares (</w:t>
      </w:r>
      <w:r w:rsidR="005A46B0" w:rsidRPr="00AB0BEA">
        <w:rPr>
          <w:rFonts w:ascii="Arial" w:hAnsi="Arial" w:cs="Arial"/>
          <w:lang w:val="es-ES_tradnl" w:eastAsia="en-US"/>
        </w:rPr>
        <w:t>según</w:t>
      </w:r>
      <w:r w:rsidR="005A46B0">
        <w:rPr>
          <w:rFonts w:ascii="Arial" w:hAnsi="Arial" w:cs="Arial"/>
          <w:lang w:val="es-ES_tradnl" w:eastAsia="en-US"/>
        </w:rPr>
        <w:t xml:space="preserve"> la clasificación descrita por la </w:t>
      </w:r>
      <w:r w:rsidR="005A46B0" w:rsidRPr="00AB0BEA">
        <w:rPr>
          <w:rFonts w:ascii="Arial" w:hAnsi="Arial" w:cs="Arial"/>
          <w:lang w:val="es-ES_tradnl" w:eastAsia="en-US"/>
        </w:rPr>
        <w:t>Federación Dental Internacional</w:t>
      </w:r>
      <w:r w:rsidR="00DA6C96">
        <w:rPr>
          <w:rFonts w:ascii="Arial" w:hAnsi="Arial" w:cs="Arial"/>
          <w:vertAlign w:val="superscript"/>
          <w:lang w:val="es-ES_tradnl" w:eastAsia="en-US"/>
        </w:rPr>
        <w:t>(</w:t>
      </w:r>
      <w:r w:rsidR="0045513F">
        <w:rPr>
          <w:rFonts w:ascii="Arial" w:hAnsi="Arial" w:cs="Arial"/>
          <w:vertAlign w:val="superscript"/>
          <w:lang w:val="es-ES_tradnl" w:eastAsia="en-US"/>
        </w:rPr>
        <w:t>10</w:t>
      </w:r>
      <w:r w:rsidR="00DA6C96">
        <w:rPr>
          <w:rFonts w:ascii="Arial" w:hAnsi="Arial" w:cs="Arial"/>
          <w:vertAlign w:val="superscript"/>
          <w:lang w:val="es-ES_tradnl" w:eastAsia="en-US"/>
        </w:rPr>
        <w:t>)</w:t>
      </w:r>
      <w:r w:rsidR="005A46B0">
        <w:rPr>
          <w:rFonts w:ascii="Arial" w:hAnsi="Arial" w:cs="Arial"/>
          <w:vertAlign w:val="superscript"/>
          <w:lang w:val="es-ES_tradnl" w:eastAsia="en-US"/>
        </w:rPr>
        <w:t xml:space="preserve"> </w:t>
      </w:r>
      <w:r w:rsidR="005A46B0" w:rsidRPr="00FB28DA">
        <w:rPr>
          <w:rFonts w:ascii="Arial" w:hAnsi="Arial" w:cs="Arial"/>
          <w:sz w:val="24"/>
          <w:szCs w:val="24"/>
        </w:rPr>
        <w:t>1.8</w:t>
      </w:r>
      <w:r w:rsidR="00DA6C96">
        <w:rPr>
          <w:rFonts w:ascii="Arial" w:hAnsi="Arial" w:cs="Arial"/>
          <w:sz w:val="24"/>
          <w:szCs w:val="24"/>
        </w:rPr>
        <w:t xml:space="preserve"> superior derecho</w:t>
      </w:r>
      <w:r w:rsidR="005A46B0" w:rsidRPr="00FB28DA">
        <w:rPr>
          <w:rFonts w:ascii="Arial" w:hAnsi="Arial" w:cs="Arial"/>
          <w:sz w:val="24"/>
          <w:szCs w:val="24"/>
        </w:rPr>
        <w:t>; 2.8</w:t>
      </w:r>
      <w:r w:rsidR="00DA6C96">
        <w:rPr>
          <w:rFonts w:ascii="Arial" w:hAnsi="Arial" w:cs="Arial"/>
          <w:sz w:val="24"/>
          <w:szCs w:val="24"/>
        </w:rPr>
        <w:t xml:space="preserve"> superior izquierdo</w:t>
      </w:r>
      <w:r w:rsidR="005A46B0" w:rsidRPr="00FB28DA">
        <w:rPr>
          <w:rFonts w:ascii="Arial" w:hAnsi="Arial" w:cs="Arial"/>
          <w:sz w:val="24"/>
          <w:szCs w:val="24"/>
        </w:rPr>
        <w:t>; 3.8</w:t>
      </w:r>
      <w:r w:rsidR="00DA6C96">
        <w:rPr>
          <w:rFonts w:ascii="Arial" w:hAnsi="Arial" w:cs="Arial"/>
          <w:sz w:val="24"/>
          <w:szCs w:val="24"/>
        </w:rPr>
        <w:t xml:space="preserve"> inferior </w:t>
      </w:r>
      <w:r w:rsidR="00DA6C96" w:rsidRPr="00A10B49">
        <w:rPr>
          <w:rFonts w:ascii="Arial" w:hAnsi="Arial" w:cs="Arial"/>
          <w:sz w:val="24"/>
          <w:szCs w:val="24"/>
        </w:rPr>
        <w:t>izquierdo</w:t>
      </w:r>
      <w:r w:rsidR="005A46B0" w:rsidRPr="00A10B49">
        <w:rPr>
          <w:rFonts w:ascii="Arial" w:hAnsi="Arial" w:cs="Arial"/>
          <w:sz w:val="24"/>
          <w:szCs w:val="24"/>
        </w:rPr>
        <w:t xml:space="preserve"> y 4.8</w:t>
      </w:r>
      <w:r w:rsidR="00DA6C96" w:rsidRPr="00A10B49">
        <w:rPr>
          <w:rFonts w:ascii="Arial" w:hAnsi="Arial" w:cs="Arial"/>
          <w:sz w:val="24"/>
          <w:szCs w:val="24"/>
        </w:rPr>
        <w:t xml:space="preserve"> inferior derecho</w:t>
      </w:r>
      <w:r w:rsidRPr="00A10B49">
        <w:rPr>
          <w:rFonts w:ascii="Arial" w:hAnsi="Arial" w:cs="Arial"/>
          <w:sz w:val="24"/>
          <w:szCs w:val="24"/>
        </w:rPr>
        <w:t xml:space="preserve">), brote anormal (cuando </w:t>
      </w:r>
      <w:r w:rsidR="006C49BB" w:rsidRPr="00A10B49">
        <w:rPr>
          <w:rFonts w:ascii="Arial" w:hAnsi="Arial" w:cs="Arial"/>
          <w:sz w:val="24"/>
          <w:szCs w:val="24"/>
        </w:rPr>
        <w:t xml:space="preserve">el tercer molar </w:t>
      </w:r>
      <w:r w:rsidRPr="00A10B49">
        <w:rPr>
          <w:rFonts w:ascii="Arial" w:hAnsi="Arial" w:cs="Arial"/>
          <w:sz w:val="24"/>
          <w:szCs w:val="24"/>
        </w:rPr>
        <w:t>no llegó al plano de oclusión y quedó retenido, impactado o incluido)</w:t>
      </w:r>
      <w:r w:rsidR="006C49BB" w:rsidRPr="00A10B49">
        <w:rPr>
          <w:rFonts w:ascii="Arial" w:hAnsi="Arial" w:cs="Arial"/>
          <w:sz w:val="24"/>
          <w:szCs w:val="24"/>
        </w:rPr>
        <w:t xml:space="preserve">, y cefalométricas como </w:t>
      </w:r>
      <w:r w:rsidR="00DA6C96" w:rsidRPr="00A10B49">
        <w:rPr>
          <w:rFonts w:ascii="Arial" w:hAnsi="Arial" w:cs="Arial"/>
          <w:snapToGrid w:val="0"/>
          <w:sz w:val="24"/>
          <w:szCs w:val="24"/>
          <w:lang w:val="es-ES_tradnl" w:eastAsia="en-US"/>
        </w:rPr>
        <w:t>espacio</w:t>
      </w:r>
      <w:r w:rsidR="006C49BB" w:rsidRPr="00A10B49">
        <w:rPr>
          <w:rFonts w:ascii="Arial" w:hAnsi="Arial" w:cs="Arial"/>
          <w:snapToGrid w:val="0"/>
          <w:sz w:val="24"/>
          <w:szCs w:val="24"/>
          <w:lang w:val="es-ES_tradnl" w:eastAsia="en-US"/>
        </w:rPr>
        <w:t xml:space="preserve"> óseo posterior insuficiente (</w:t>
      </w:r>
      <w:r w:rsidR="006C49BB" w:rsidRPr="00A10B49">
        <w:rPr>
          <w:rFonts w:ascii="Arial" w:hAnsi="Arial" w:cs="Arial"/>
          <w:sz w:val="24"/>
          <w:szCs w:val="24"/>
          <w:lang w:val="es-ES_tradnl" w:eastAsia="en-US"/>
        </w:rPr>
        <w:t>cantidad de milímetros de espacio óseo posterior encontrados, que favoreció el brote anormal de los terceros molares en el maxilar y la mandíbula), a</w:t>
      </w:r>
      <w:r w:rsidR="006C49BB" w:rsidRPr="00A10B49">
        <w:rPr>
          <w:rFonts w:ascii="Arial" w:hAnsi="Arial" w:cs="Arial"/>
          <w:snapToGrid w:val="0"/>
          <w:sz w:val="24"/>
          <w:szCs w:val="24"/>
          <w:lang w:val="es-ES_tradnl" w:eastAsia="en-US"/>
        </w:rPr>
        <w:t>ngulación inadecuada (</w:t>
      </w:r>
      <w:r w:rsidR="006C49BB" w:rsidRPr="00A10B49">
        <w:rPr>
          <w:rFonts w:ascii="Arial" w:hAnsi="Arial" w:cs="Arial"/>
          <w:sz w:val="24"/>
          <w:szCs w:val="24"/>
          <w:lang w:val="es-ES_tradnl" w:eastAsia="en-US"/>
        </w:rPr>
        <w:t>cantidad de grados encontrados que propició el brote anormal de los terceros molares en el maxilar y la mandíbula) y d</w:t>
      </w:r>
      <w:r w:rsidR="006C49BB" w:rsidRPr="00A10B49">
        <w:rPr>
          <w:rFonts w:ascii="Arial" w:hAnsi="Arial" w:cs="Arial"/>
          <w:snapToGrid w:val="0"/>
          <w:sz w:val="24"/>
          <w:szCs w:val="24"/>
          <w:lang w:val="es-ES_tradnl" w:eastAsia="en-US"/>
        </w:rPr>
        <w:t>iámetro mesiodistal inadecuado (</w:t>
      </w:r>
      <w:r w:rsidR="006C49BB" w:rsidRPr="00A10B49">
        <w:rPr>
          <w:rFonts w:ascii="Arial" w:hAnsi="Arial" w:cs="Arial"/>
          <w:sz w:val="24"/>
          <w:szCs w:val="24"/>
          <w:lang w:val="es-ES_tradnl" w:eastAsia="en-US"/>
        </w:rPr>
        <w:t>cantidad de milímetros de diámetro mesiodistal encontrados que favoreció el brote anormal de los terceros molares en el maxilar y la mandíbula).</w:t>
      </w:r>
      <w:r w:rsidR="000A5533">
        <w:rPr>
          <w:rFonts w:ascii="Arial" w:hAnsi="Arial" w:cs="Arial"/>
          <w:sz w:val="24"/>
          <w:szCs w:val="24"/>
          <w:lang w:val="es-ES_tradnl" w:eastAsia="en-US"/>
        </w:rPr>
        <w:t xml:space="preserve"> </w:t>
      </w:r>
      <w:r w:rsidR="006C49BB">
        <w:rPr>
          <w:rFonts w:ascii="Arial" w:hAnsi="Arial" w:cs="Arial"/>
          <w:lang w:val="es-ES_tradnl" w:eastAsia="en-US"/>
        </w:rPr>
        <w:t>La recolección de los datos</w:t>
      </w:r>
      <w:r w:rsidR="003E3552">
        <w:rPr>
          <w:rFonts w:ascii="Arial" w:hAnsi="Arial" w:cs="Arial"/>
          <w:lang w:val="es-ES_tradnl" w:eastAsia="en-US"/>
        </w:rPr>
        <w:t xml:space="preserve"> fue realizada a través del examen clínico y radiográfico</w:t>
      </w:r>
      <w:r w:rsidR="00A10B49">
        <w:rPr>
          <w:rFonts w:ascii="Arial" w:hAnsi="Arial" w:cs="Arial"/>
          <w:lang w:val="es-ES_tradnl" w:eastAsia="en-US"/>
        </w:rPr>
        <w:t xml:space="preserve">. </w:t>
      </w:r>
      <w:r w:rsidR="003E3552">
        <w:rPr>
          <w:rFonts w:ascii="Arial" w:hAnsi="Arial" w:cs="Arial"/>
          <w:sz w:val="24"/>
          <w:szCs w:val="24"/>
        </w:rPr>
        <w:t>Las mediciones de las variables cefalométricas fueron realizadas tal y como se muestra en la figura.</w:t>
      </w:r>
    </w:p>
    <w:p w14:paraId="003BB7A9" w14:textId="77777777" w:rsidR="009F0D5B" w:rsidRDefault="009F0D5B" w:rsidP="009F0D5B">
      <w:pPr>
        <w:spacing w:after="0" w:line="360" w:lineRule="auto"/>
        <w:ind w:right="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Figura. Variables cefalométricas: a (espacio óseo posterior), b (angulación) y c (diámetro mesiodistal).</w:t>
      </w:r>
    </w:p>
    <w:p w14:paraId="0E016BD8" w14:textId="77777777" w:rsidR="009F0D5B" w:rsidRDefault="003E3552" w:rsidP="006C49BB">
      <w:pPr>
        <w:spacing w:after="0" w:line="360" w:lineRule="auto"/>
        <w:ind w:right="4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BFE3EA4" wp14:editId="03B5EC74">
            <wp:extent cx="6009961" cy="1085222"/>
            <wp:effectExtent l="19050" t="0" r="0" b="0"/>
            <wp:docPr id="1" name="Imagen 1" descr="C:\Users\liuba\AppData\Local\Microsoft\Windows\Temporary Internet Files\Content.Word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ba\AppData\Local\Microsoft\Windows\Temporary Internet Files\Content.Word\Sin títu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716" cy="1084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92FFB4" w14:textId="77777777" w:rsidR="006C49BB" w:rsidRPr="003E3552" w:rsidRDefault="003E3552" w:rsidP="006C49BB">
      <w:pPr>
        <w:spacing w:after="0" w:line="360" w:lineRule="auto"/>
        <w:ind w:right="48"/>
        <w:jc w:val="both"/>
        <w:rPr>
          <w:rFonts w:ascii="Arial" w:hAnsi="Arial" w:cs="Arial"/>
          <w:vertAlign w:val="superscript"/>
          <w:lang w:val="es-ES_tradnl"/>
        </w:rPr>
      </w:pPr>
      <w:r>
        <w:rPr>
          <w:rFonts w:ascii="Arial" w:hAnsi="Arial" w:cs="Arial"/>
          <w:sz w:val="24"/>
          <w:szCs w:val="24"/>
        </w:rPr>
        <w:t xml:space="preserve">Fuente: imagen tomada de </w:t>
      </w:r>
      <w:proofErr w:type="gramStart"/>
      <w:r>
        <w:rPr>
          <w:rFonts w:ascii="Arial" w:hAnsi="Arial" w:cs="Arial"/>
          <w:sz w:val="24"/>
          <w:szCs w:val="24"/>
        </w:rPr>
        <w:t>González</w:t>
      </w:r>
      <w:r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45513F">
        <w:rPr>
          <w:rFonts w:ascii="Arial" w:hAnsi="Arial" w:cs="Arial"/>
          <w:sz w:val="24"/>
          <w:szCs w:val="24"/>
          <w:vertAlign w:val="superscript"/>
        </w:rPr>
        <w:t>4</w:t>
      </w:r>
      <w:r>
        <w:rPr>
          <w:rFonts w:ascii="Arial" w:hAnsi="Arial" w:cs="Arial"/>
          <w:sz w:val="24"/>
          <w:szCs w:val="24"/>
          <w:vertAlign w:val="superscript"/>
        </w:rPr>
        <w:t>)</w:t>
      </w:r>
    </w:p>
    <w:p w14:paraId="0D689A7B" w14:textId="77777777" w:rsidR="009E13F5" w:rsidRDefault="00824CFA" w:rsidP="00A10B49">
      <w:pPr>
        <w:spacing w:after="0" w:line="360" w:lineRule="auto"/>
        <w:ind w:right="48"/>
        <w:jc w:val="both"/>
        <w:rPr>
          <w:rFonts w:ascii="Arial" w:hAnsi="Arial" w:cs="Arial"/>
          <w:sz w:val="24"/>
          <w:szCs w:val="24"/>
        </w:rPr>
      </w:pPr>
      <w:r w:rsidRPr="00AB0BEA">
        <w:rPr>
          <w:rFonts w:ascii="Arial" w:eastAsiaTheme="minorHAnsi" w:hAnsi="Arial" w:cs="Arial"/>
          <w:sz w:val="24"/>
          <w:szCs w:val="24"/>
          <w:lang w:eastAsia="en-US"/>
        </w:rPr>
        <w:t xml:space="preserve">Los datos se procesaron de manera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automatizada </w:t>
      </w:r>
      <w:r w:rsidRPr="00AB0BEA">
        <w:rPr>
          <w:rFonts w:ascii="Arial" w:eastAsiaTheme="minorHAnsi" w:hAnsi="Arial" w:cs="Arial"/>
          <w:sz w:val="24"/>
          <w:szCs w:val="24"/>
          <w:lang w:eastAsia="en-US"/>
        </w:rPr>
        <w:t xml:space="preserve">mediante la aplicación del </w:t>
      </w:r>
      <w:r>
        <w:rPr>
          <w:rFonts w:ascii="Arial" w:eastAsiaTheme="minorHAnsi" w:hAnsi="Arial" w:cs="Arial"/>
          <w:sz w:val="24"/>
          <w:szCs w:val="24"/>
          <w:lang w:eastAsia="en-US"/>
        </w:rPr>
        <w:t>paquete</w:t>
      </w:r>
      <w:r w:rsidRPr="00AB0BEA">
        <w:rPr>
          <w:rFonts w:ascii="Arial" w:eastAsiaTheme="minorHAnsi" w:hAnsi="Arial" w:cs="Arial"/>
          <w:sz w:val="24"/>
          <w:szCs w:val="24"/>
          <w:lang w:eastAsia="en-US"/>
        </w:rPr>
        <w:t xml:space="preserve"> estadístico SPSS/PC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3C3CC4">
        <w:rPr>
          <w:rFonts w:ascii="Arial" w:eastAsia="Times New Roman" w:hAnsi="Arial" w:cs="Arial"/>
          <w:sz w:val="24"/>
          <w:szCs w:val="24"/>
        </w:rPr>
        <w:t xml:space="preserve"> Como medidas de resumen para el análisis de las variables </w:t>
      </w:r>
      <w:r w:rsidR="00165276" w:rsidRPr="003C3CC4">
        <w:rPr>
          <w:rFonts w:ascii="Arial" w:eastAsia="Times New Roman" w:hAnsi="Arial" w:cs="Arial"/>
          <w:sz w:val="24"/>
          <w:szCs w:val="24"/>
        </w:rPr>
        <w:t>cualitativas se empleó el porcentaje</w:t>
      </w:r>
      <w:r w:rsidR="00165276">
        <w:rPr>
          <w:rFonts w:ascii="Arial" w:eastAsia="Times New Roman" w:hAnsi="Arial" w:cs="Arial"/>
          <w:sz w:val="24"/>
          <w:szCs w:val="24"/>
        </w:rPr>
        <w:t xml:space="preserve">. En el caso de las </w:t>
      </w:r>
      <w:r w:rsidRPr="003C3CC4">
        <w:rPr>
          <w:rFonts w:ascii="Arial" w:eastAsia="Times New Roman" w:hAnsi="Arial" w:cs="Arial"/>
          <w:sz w:val="24"/>
          <w:szCs w:val="24"/>
        </w:rPr>
        <w:t>cuantitativas se utilizaron la media (</w:t>
      </w:r>
      <w:r w:rsidR="00165276" w:rsidRPr="003C3CC4">
        <w:rPr>
          <w:rFonts w:ascii="Arial" w:eastAsia="Times New Roman" w:hAnsi="Arial" w:cs="Arial"/>
          <w:sz w:val="24"/>
          <w:szCs w:val="24"/>
        </w:rPr>
        <w:t>X̄</w:t>
      </w:r>
      <w:r w:rsidR="00393FF3">
        <w:rPr>
          <w:rFonts w:ascii="Arial" w:eastAsia="Times New Roman" w:hAnsi="Arial" w:cs="Arial"/>
          <w:sz w:val="24"/>
          <w:szCs w:val="24"/>
        </w:rPr>
        <w:t>) y la desviación estándar (DE)</w:t>
      </w:r>
      <w:r w:rsidRPr="003C3CC4">
        <w:rPr>
          <w:rFonts w:ascii="Arial" w:eastAsia="Times New Roman" w:hAnsi="Arial" w:cs="Arial"/>
          <w:sz w:val="24"/>
          <w:szCs w:val="24"/>
        </w:rPr>
        <w:t xml:space="preserve">; </w:t>
      </w:r>
      <w:r w:rsidR="0078798D">
        <w:rPr>
          <w:rFonts w:ascii="Arial" w:hAnsi="Arial" w:cs="Arial"/>
          <w:sz w:val="24"/>
          <w:szCs w:val="24"/>
        </w:rPr>
        <w:t xml:space="preserve">se </w:t>
      </w:r>
      <w:r w:rsidR="00393FF3">
        <w:rPr>
          <w:rFonts w:ascii="Arial" w:hAnsi="Arial" w:cs="Arial"/>
          <w:sz w:val="24"/>
          <w:szCs w:val="24"/>
        </w:rPr>
        <w:t xml:space="preserve">realizaron </w:t>
      </w:r>
      <w:r w:rsidR="00393FF3" w:rsidRPr="003C3CC4">
        <w:rPr>
          <w:rFonts w:ascii="Arial" w:eastAsia="Times New Roman" w:hAnsi="Arial" w:cs="Arial"/>
          <w:sz w:val="24"/>
          <w:szCs w:val="24"/>
        </w:rPr>
        <w:t>estimaciones por intervalo de confianza de 95 %</w:t>
      </w:r>
      <w:r w:rsidR="00393FF3">
        <w:rPr>
          <w:rFonts w:ascii="Arial" w:eastAsia="Times New Roman" w:hAnsi="Arial" w:cs="Arial"/>
          <w:sz w:val="24"/>
          <w:szCs w:val="24"/>
        </w:rPr>
        <w:t xml:space="preserve"> (IC 95 %) calculando los límites superior (LS) e inferior (LI)</w:t>
      </w:r>
      <w:r w:rsidR="00A10B49">
        <w:rPr>
          <w:rFonts w:ascii="Arial" w:eastAsia="Times New Roman" w:hAnsi="Arial" w:cs="Arial"/>
          <w:sz w:val="24"/>
          <w:szCs w:val="24"/>
        </w:rPr>
        <w:t xml:space="preserve">; con un nivel de </w:t>
      </w:r>
      <w:r w:rsidR="000D431E">
        <w:rPr>
          <w:rFonts w:ascii="Arial" w:hAnsi="Arial" w:cs="Arial"/>
          <w:sz w:val="24"/>
          <w:szCs w:val="24"/>
        </w:rPr>
        <w:t xml:space="preserve">significación </w:t>
      </w:r>
      <w:r w:rsidR="000D431E" w:rsidRPr="00D60E10">
        <w:rPr>
          <w:rFonts w:ascii="Arial" w:hAnsi="Arial" w:cs="Arial"/>
          <w:sz w:val="24"/>
          <w:szCs w:val="24"/>
        </w:rPr>
        <w:t>α=0,05</w:t>
      </w:r>
      <w:r w:rsidR="00A10B49">
        <w:rPr>
          <w:rFonts w:ascii="Arial" w:hAnsi="Arial" w:cs="Arial"/>
          <w:sz w:val="24"/>
          <w:szCs w:val="24"/>
        </w:rPr>
        <w:t>.</w:t>
      </w:r>
    </w:p>
    <w:p w14:paraId="00FB1091" w14:textId="77777777" w:rsidR="00126629" w:rsidRPr="00BC75CF" w:rsidRDefault="00FB28DA" w:rsidP="00AB21F8">
      <w:pPr>
        <w:spacing w:after="0" w:line="360" w:lineRule="auto"/>
        <w:ind w:right="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16"/>
          <w:sz w:val="24"/>
          <w:szCs w:val="24"/>
          <w:lang w:val="es-ES_tradnl"/>
        </w:rPr>
        <w:lastRenderedPageBreak/>
        <w:t>F</w:t>
      </w:r>
      <w:r w:rsidRPr="000F2ABB">
        <w:rPr>
          <w:rFonts w:ascii="Arial" w:hAnsi="Arial" w:cs="Arial"/>
          <w:kern w:val="16"/>
          <w:sz w:val="24"/>
          <w:szCs w:val="24"/>
          <w:lang w:val="es-ES_tradnl"/>
        </w:rPr>
        <w:t>ue solicitado</w:t>
      </w:r>
      <w:r>
        <w:rPr>
          <w:rFonts w:ascii="Arial" w:hAnsi="Arial" w:cs="Arial"/>
          <w:kern w:val="16"/>
          <w:sz w:val="24"/>
          <w:szCs w:val="24"/>
          <w:lang w:val="es-ES_tradnl"/>
        </w:rPr>
        <w:t xml:space="preserve"> e</w:t>
      </w:r>
      <w:r w:rsidRPr="000F2ABB">
        <w:rPr>
          <w:rFonts w:ascii="Arial" w:hAnsi="Arial" w:cs="Arial"/>
          <w:kern w:val="16"/>
          <w:sz w:val="24"/>
          <w:szCs w:val="24"/>
          <w:lang w:val="es-ES_tradnl"/>
        </w:rPr>
        <w:t>l consentimiento informado a</w:t>
      </w:r>
      <w:r>
        <w:rPr>
          <w:rFonts w:ascii="Arial" w:hAnsi="Arial" w:cs="Arial"/>
          <w:kern w:val="16"/>
          <w:sz w:val="24"/>
          <w:szCs w:val="24"/>
          <w:lang w:val="es-ES_tradnl"/>
        </w:rPr>
        <w:t xml:space="preserve"> los seleccionados y </w:t>
      </w:r>
      <w:r w:rsidRPr="000F2ABB">
        <w:rPr>
          <w:rFonts w:ascii="Arial" w:hAnsi="Arial" w:cs="Arial"/>
          <w:kern w:val="16"/>
          <w:sz w:val="24"/>
          <w:szCs w:val="24"/>
          <w:lang w:val="es-ES_tradnl"/>
        </w:rPr>
        <w:t>teniendo en cuenta las normas éticas descritas para este tipo de estudio</w:t>
      </w:r>
      <w:r>
        <w:rPr>
          <w:rFonts w:ascii="Arial" w:hAnsi="Arial" w:cs="Arial"/>
          <w:kern w:val="16"/>
          <w:sz w:val="24"/>
          <w:szCs w:val="24"/>
          <w:lang w:val="es-ES_tradnl"/>
        </w:rPr>
        <w:t xml:space="preserve"> s</w:t>
      </w:r>
      <w:r w:rsidRPr="00042465">
        <w:rPr>
          <w:rFonts w:ascii="Arial" w:hAnsi="Arial" w:cs="Arial"/>
          <w:sz w:val="24"/>
          <w:szCs w:val="24"/>
        </w:rPr>
        <w:t>e tuv</w:t>
      </w:r>
      <w:r>
        <w:rPr>
          <w:rFonts w:ascii="Arial" w:hAnsi="Arial" w:cs="Arial"/>
          <w:sz w:val="24"/>
          <w:szCs w:val="24"/>
        </w:rPr>
        <w:t>ieron</w:t>
      </w:r>
      <w:r w:rsidRPr="00042465">
        <w:rPr>
          <w:rFonts w:ascii="Arial" w:hAnsi="Arial" w:cs="Arial"/>
          <w:sz w:val="24"/>
          <w:szCs w:val="24"/>
        </w:rPr>
        <w:t xml:space="preserve"> en cuenta las medidas de protección radiológicas establecidas por los organismos competentes para la utilización segura de las radiaciones y garantizar la protección de los individuos, descendientes de la población en su conjunto así como el medio ambiente</w:t>
      </w:r>
      <w:r>
        <w:rPr>
          <w:rFonts w:ascii="Arial" w:hAnsi="Arial" w:cs="Arial"/>
          <w:sz w:val="24"/>
          <w:szCs w:val="24"/>
        </w:rPr>
        <w:t xml:space="preserve">; citadas por </w:t>
      </w:r>
      <w:proofErr w:type="gramStart"/>
      <w:r>
        <w:rPr>
          <w:rFonts w:ascii="Arial" w:hAnsi="Arial" w:cs="Arial"/>
          <w:sz w:val="24"/>
          <w:szCs w:val="24"/>
        </w:rPr>
        <w:t>González.</w:t>
      </w:r>
      <w:r w:rsidR="00DA6C96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DA6C96">
        <w:rPr>
          <w:rFonts w:ascii="Arial" w:hAnsi="Arial" w:cs="Arial"/>
          <w:sz w:val="24"/>
          <w:szCs w:val="24"/>
          <w:vertAlign w:val="superscript"/>
        </w:rPr>
        <w:t>9)</w:t>
      </w:r>
    </w:p>
    <w:p w14:paraId="3AB740C6" w14:textId="77777777" w:rsidR="00662847" w:rsidRDefault="00A10B49" w:rsidP="00126629">
      <w:pPr>
        <w:spacing w:before="240" w:after="0" w:line="360" w:lineRule="auto"/>
        <w:ind w:right="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</w:t>
      </w:r>
    </w:p>
    <w:p w14:paraId="233CCB51" w14:textId="77777777" w:rsidR="008B71DE" w:rsidRPr="008B71DE" w:rsidRDefault="008F1B25" w:rsidP="00AD74E5">
      <w:pPr>
        <w:spacing w:after="0" w:line="360" w:lineRule="auto"/>
        <w:ind w:right="48"/>
        <w:jc w:val="both"/>
        <w:rPr>
          <w:rFonts w:ascii="Arial" w:hAnsi="Arial" w:cs="Arial"/>
          <w:snapToGrid w:val="0"/>
          <w:sz w:val="24"/>
          <w:szCs w:val="24"/>
          <w:lang w:val="es-ES_tradnl" w:eastAsia="en-US"/>
        </w:rPr>
      </w:pPr>
      <w:r>
        <w:rPr>
          <w:rFonts w:ascii="Arial" w:hAnsi="Arial" w:cs="Arial"/>
          <w:sz w:val="24"/>
          <w:szCs w:val="24"/>
        </w:rPr>
        <w:t xml:space="preserve">En los 21 jóvenes que conformaron la muestra </w:t>
      </w:r>
      <w:r w:rsidR="009D02EC">
        <w:rPr>
          <w:rFonts w:ascii="Arial" w:hAnsi="Arial" w:cs="Arial"/>
          <w:sz w:val="24"/>
          <w:szCs w:val="24"/>
        </w:rPr>
        <w:t>14 (66,7 %) eran del sexo femenino y 11 de color mestizo (52,4 %). S</w:t>
      </w:r>
      <w:r>
        <w:rPr>
          <w:rFonts w:ascii="Arial" w:hAnsi="Arial" w:cs="Arial"/>
          <w:sz w:val="24"/>
          <w:szCs w:val="24"/>
        </w:rPr>
        <w:t xml:space="preserve">e detectaron 66 terceros molares </w:t>
      </w:r>
      <w:r w:rsidR="009D02EC">
        <w:rPr>
          <w:rFonts w:ascii="Arial" w:hAnsi="Arial" w:cs="Arial"/>
          <w:sz w:val="24"/>
          <w:szCs w:val="24"/>
        </w:rPr>
        <w:t xml:space="preserve">con brote anormal, de los </w:t>
      </w:r>
      <w:r w:rsidR="003A55DD">
        <w:rPr>
          <w:rFonts w:ascii="Arial" w:hAnsi="Arial" w:cs="Arial"/>
          <w:sz w:val="24"/>
          <w:szCs w:val="24"/>
        </w:rPr>
        <w:t>84 dientes examinados (78,6 %); fue observada</w:t>
      </w:r>
      <w:r w:rsidR="009D02EC">
        <w:rPr>
          <w:rFonts w:ascii="Arial" w:hAnsi="Arial" w:cs="Arial"/>
          <w:sz w:val="24"/>
          <w:szCs w:val="24"/>
        </w:rPr>
        <w:t xml:space="preserve"> de manera global</w:t>
      </w:r>
      <w:r w:rsidR="003A55DD">
        <w:rPr>
          <w:rFonts w:ascii="Arial" w:hAnsi="Arial" w:cs="Arial"/>
          <w:sz w:val="24"/>
          <w:szCs w:val="24"/>
        </w:rPr>
        <w:t>,</w:t>
      </w:r>
      <w:r w:rsidR="009D02EC">
        <w:rPr>
          <w:rFonts w:ascii="Arial" w:hAnsi="Arial" w:cs="Arial"/>
          <w:sz w:val="24"/>
          <w:szCs w:val="24"/>
        </w:rPr>
        <w:t xml:space="preserve"> una dependencia entre el brote anormal y esta variable epidemiológica.</w:t>
      </w:r>
      <w:r w:rsidR="00AD74E5">
        <w:rPr>
          <w:rFonts w:ascii="Arial" w:hAnsi="Arial" w:cs="Arial"/>
          <w:sz w:val="24"/>
          <w:szCs w:val="24"/>
        </w:rPr>
        <w:t xml:space="preserve"> </w:t>
      </w:r>
      <w:r w:rsidR="00AD74E5">
        <w:rPr>
          <w:rFonts w:ascii="Arial" w:hAnsi="Arial" w:cs="Arial"/>
          <w:snapToGrid w:val="0"/>
          <w:sz w:val="24"/>
          <w:szCs w:val="24"/>
          <w:lang w:val="es-ES_tradnl" w:eastAsia="en-US"/>
        </w:rPr>
        <w:t>Según</w:t>
      </w:r>
      <w:r w:rsidR="008B71DE">
        <w:rPr>
          <w:rFonts w:ascii="Arial" w:hAnsi="Arial" w:cs="Arial"/>
          <w:snapToGrid w:val="0"/>
          <w:sz w:val="24"/>
          <w:szCs w:val="24"/>
          <w:lang w:val="es-ES_tradnl" w:eastAsia="en-US"/>
        </w:rPr>
        <w:t xml:space="preserve"> color de la piel, </w:t>
      </w:r>
      <w:r w:rsidR="00AD74E5">
        <w:rPr>
          <w:rFonts w:ascii="Arial" w:hAnsi="Arial" w:cs="Arial"/>
          <w:snapToGrid w:val="0"/>
          <w:sz w:val="24"/>
          <w:szCs w:val="24"/>
          <w:lang w:val="es-ES_tradnl" w:eastAsia="en-US"/>
        </w:rPr>
        <w:t xml:space="preserve">se </w:t>
      </w:r>
      <w:r w:rsidR="003A55DD">
        <w:rPr>
          <w:rFonts w:ascii="Arial" w:hAnsi="Arial" w:cs="Arial"/>
          <w:snapToGrid w:val="0"/>
          <w:sz w:val="24"/>
          <w:szCs w:val="24"/>
          <w:lang w:val="es-ES_tradnl" w:eastAsia="en-US"/>
        </w:rPr>
        <w:t xml:space="preserve">reveló </w:t>
      </w:r>
      <w:r w:rsidR="008B71DE">
        <w:rPr>
          <w:rFonts w:ascii="Arial" w:hAnsi="Arial" w:cs="Arial"/>
          <w:snapToGrid w:val="0"/>
          <w:sz w:val="24"/>
          <w:szCs w:val="24"/>
          <w:lang w:val="es-ES_tradnl" w:eastAsia="en-US"/>
        </w:rPr>
        <w:t>relaciones de dependencia de forma general, entre las categorías blanco y negro, así como entre negro y mestizo representados con un valor de p menor que 0,01 para ambos casos. El brote anormal se destacó en los terceros molares superior e inferior derechos (1.8 y 4.8) en los blancos (7,1 % para cada caso), mientras que en los negros se distribuyó de igual forma en la localización 1.8, 3.8 y 4.8 con 3 molares en cada uno (3,6 %). En los mestizos, el 13,1 % perteneció a los molares inferiores derechos (4.8).</w:t>
      </w:r>
    </w:p>
    <w:p w14:paraId="6E50AA21" w14:textId="77777777" w:rsidR="0032229B" w:rsidRPr="0032229B" w:rsidRDefault="0032229B" w:rsidP="003A55DD">
      <w:pPr>
        <w:tabs>
          <w:tab w:val="center" w:pos="319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2229B">
        <w:rPr>
          <w:rFonts w:ascii="Arial" w:hAnsi="Arial" w:cs="Arial"/>
          <w:bCs/>
          <w:color w:val="000000"/>
          <w:sz w:val="24"/>
          <w:szCs w:val="24"/>
        </w:rPr>
        <w:t xml:space="preserve">En la tabla </w:t>
      </w:r>
      <w:r w:rsidR="003A55DD">
        <w:rPr>
          <w:rFonts w:ascii="Arial" w:hAnsi="Arial" w:cs="Arial"/>
          <w:bCs/>
          <w:color w:val="000000"/>
          <w:sz w:val="24"/>
          <w:szCs w:val="24"/>
        </w:rPr>
        <w:t>1</w:t>
      </w:r>
      <w:r w:rsidRPr="0032229B">
        <w:rPr>
          <w:rFonts w:ascii="Arial" w:hAnsi="Arial" w:cs="Arial"/>
          <w:bCs/>
          <w:color w:val="000000"/>
          <w:sz w:val="24"/>
          <w:szCs w:val="24"/>
        </w:rPr>
        <w:t xml:space="preserve"> se muestran los promedios de espacio óseo superior </w:t>
      </w:r>
      <w:r>
        <w:rPr>
          <w:rFonts w:ascii="Arial" w:hAnsi="Arial" w:cs="Arial"/>
          <w:bCs/>
          <w:color w:val="000000"/>
          <w:sz w:val="24"/>
          <w:szCs w:val="24"/>
        </w:rPr>
        <w:t>insuficiente</w:t>
      </w:r>
      <w:r w:rsidRPr="0032229B">
        <w:rPr>
          <w:rFonts w:ascii="Arial" w:hAnsi="Arial" w:cs="Arial"/>
          <w:bCs/>
          <w:color w:val="000000"/>
          <w:sz w:val="24"/>
          <w:szCs w:val="24"/>
        </w:rPr>
        <w:t xml:space="preserve"> asociados a un brote anormal de los terceros molares, observándose iguales valores para los superiores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(1.8 y 2.8) </w:t>
      </w:r>
      <w:r w:rsidRPr="0032229B">
        <w:rPr>
          <w:rFonts w:ascii="Arial" w:hAnsi="Arial" w:cs="Arial"/>
          <w:bCs/>
          <w:color w:val="000000"/>
          <w:sz w:val="24"/>
          <w:szCs w:val="24"/>
        </w:rPr>
        <w:t>con medias de 25,9 mm y DE=2,8, pudiéndose afirmar con un 95 % de confianza que la media poblacional se encuentra entre los 24,3 y 27,4 mm.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La mayor cifra se observó para el 1.8 con 44,7 mm.</w:t>
      </w:r>
    </w:p>
    <w:p w14:paraId="279BADAC" w14:textId="77777777" w:rsidR="001D7DD4" w:rsidRPr="00666FFB" w:rsidRDefault="008A458B" w:rsidP="003A55DD">
      <w:pPr>
        <w:tabs>
          <w:tab w:val="center" w:pos="319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Tabla </w:t>
      </w:r>
      <w:r w:rsidR="003A55DD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1D7DD4" w:rsidRPr="00666FFB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32229B">
        <w:rPr>
          <w:rFonts w:ascii="Arial" w:hAnsi="Arial" w:cs="Arial"/>
          <w:b/>
          <w:bCs/>
          <w:color w:val="000000"/>
          <w:sz w:val="24"/>
          <w:szCs w:val="24"/>
        </w:rPr>
        <w:t>Localización de los terceros molares con brote anormal y p</w:t>
      </w:r>
      <w:r w:rsidR="001D7DD4" w:rsidRPr="00666FFB">
        <w:rPr>
          <w:rFonts w:ascii="Arial" w:hAnsi="Arial" w:cs="Arial"/>
          <w:b/>
          <w:bCs/>
          <w:color w:val="000000"/>
          <w:sz w:val="24"/>
          <w:szCs w:val="24"/>
        </w:rPr>
        <w:t xml:space="preserve">romedio de espacio posterior </w:t>
      </w:r>
      <w:r w:rsidR="00E26C20">
        <w:rPr>
          <w:rFonts w:ascii="Arial" w:hAnsi="Arial" w:cs="Arial"/>
          <w:b/>
          <w:bCs/>
          <w:color w:val="000000"/>
          <w:sz w:val="24"/>
          <w:szCs w:val="24"/>
        </w:rPr>
        <w:t>insuficiente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026"/>
        <w:gridCol w:w="1062"/>
        <w:gridCol w:w="1135"/>
        <w:gridCol w:w="3266"/>
        <w:gridCol w:w="2145"/>
      </w:tblGrid>
      <w:tr w:rsidR="001D7DD4" w:rsidRPr="00291CFA" w14:paraId="30630582" w14:textId="77777777" w:rsidTr="001D7DD4">
        <w:trPr>
          <w:jc w:val="center"/>
        </w:trPr>
        <w:tc>
          <w:tcPr>
            <w:tcW w:w="1052" w:type="pct"/>
            <w:vMerge w:val="restart"/>
          </w:tcPr>
          <w:p w14:paraId="1A6278BA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Localización</w:t>
            </w:r>
          </w:p>
          <w:p w14:paraId="4EBE37DC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271C6EA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948" w:type="pct"/>
            <w:gridSpan w:val="4"/>
            <w:tcBorders>
              <w:bottom w:val="single" w:sz="4" w:space="0" w:color="auto"/>
            </w:tcBorders>
          </w:tcPr>
          <w:p w14:paraId="11E8F09A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Espacio óseo posterior</w:t>
            </w:r>
            <w:r w:rsidR="003A55DD" w:rsidRPr="00291CFA">
              <w:rPr>
                <w:rFonts w:ascii="Arial" w:hAnsi="Arial" w:cs="Arial"/>
                <w:b/>
                <w:sz w:val="20"/>
                <w:szCs w:val="24"/>
              </w:rPr>
              <w:t xml:space="preserve"> m</w:t>
            </w:r>
            <w:r w:rsidRPr="00291CFA">
              <w:rPr>
                <w:rFonts w:ascii="Arial" w:hAnsi="Arial" w:cs="Arial"/>
                <w:b/>
                <w:sz w:val="20"/>
                <w:szCs w:val="24"/>
              </w:rPr>
              <w:t>ilímetros (mm)</w:t>
            </w:r>
          </w:p>
        </w:tc>
      </w:tr>
      <w:tr w:rsidR="001D7DD4" w:rsidRPr="00291CFA" w14:paraId="7DEBCACE" w14:textId="77777777" w:rsidTr="003A55DD">
        <w:trPr>
          <w:jc w:val="center"/>
        </w:trPr>
        <w:tc>
          <w:tcPr>
            <w:tcW w:w="1052" w:type="pct"/>
            <w:vMerge/>
          </w:tcPr>
          <w:p w14:paraId="61D72397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</w:tcBorders>
          </w:tcPr>
          <w:p w14:paraId="157D501E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37756D5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noProof/>
                <w:sz w:val="20"/>
                <w:szCs w:val="24"/>
              </w:rPr>
              <w:drawing>
                <wp:inline distT="0" distB="0" distL="0" distR="0" wp14:anchorId="753CCD91" wp14:editId="38A7330E">
                  <wp:extent cx="233045" cy="276225"/>
                  <wp:effectExtent l="19050" t="0" r="0" b="0"/>
                  <wp:docPr id="2" name="Imagen 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</w:tcBorders>
          </w:tcPr>
          <w:p w14:paraId="144AEB3E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92F7667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DE</w:t>
            </w:r>
          </w:p>
        </w:tc>
        <w:tc>
          <w:tcPr>
            <w:tcW w:w="280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DE0ED4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Intervalo de confianza para la media al 95 %</w:t>
            </w:r>
          </w:p>
        </w:tc>
      </w:tr>
      <w:tr w:rsidR="001D7DD4" w:rsidRPr="00291CFA" w14:paraId="59F16642" w14:textId="77777777" w:rsidTr="003A55DD">
        <w:trPr>
          <w:trHeight w:val="475"/>
          <w:jc w:val="center"/>
        </w:trPr>
        <w:tc>
          <w:tcPr>
            <w:tcW w:w="1052" w:type="pct"/>
            <w:vMerge/>
            <w:tcBorders>
              <w:bottom w:val="single" w:sz="4" w:space="0" w:color="auto"/>
            </w:tcBorders>
          </w:tcPr>
          <w:p w14:paraId="59D04156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676DDD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EE872A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000000"/>
              <w:bottom w:val="single" w:sz="4" w:space="0" w:color="auto"/>
            </w:tcBorders>
          </w:tcPr>
          <w:p w14:paraId="58C3FB7F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Límite inferior</w:t>
            </w:r>
          </w:p>
        </w:tc>
        <w:tc>
          <w:tcPr>
            <w:tcW w:w="1113" w:type="pct"/>
            <w:tcBorders>
              <w:top w:val="single" w:sz="4" w:space="0" w:color="000000"/>
              <w:bottom w:val="single" w:sz="4" w:space="0" w:color="auto"/>
            </w:tcBorders>
          </w:tcPr>
          <w:p w14:paraId="71941B8A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Límite superior</w:t>
            </w:r>
          </w:p>
        </w:tc>
      </w:tr>
      <w:tr w:rsidR="001D7DD4" w:rsidRPr="00291CFA" w14:paraId="035B38FB" w14:textId="77777777" w:rsidTr="003A55DD">
        <w:trPr>
          <w:jc w:val="center"/>
        </w:trPr>
        <w:tc>
          <w:tcPr>
            <w:tcW w:w="1052" w:type="pct"/>
            <w:tcBorders>
              <w:top w:val="nil"/>
            </w:tcBorders>
          </w:tcPr>
          <w:p w14:paraId="1CECC5D3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1.8</w:t>
            </w:r>
          </w:p>
        </w:tc>
        <w:tc>
          <w:tcPr>
            <w:tcW w:w="551" w:type="pct"/>
            <w:tcBorders>
              <w:top w:val="nil"/>
            </w:tcBorders>
          </w:tcPr>
          <w:p w14:paraId="426DECF2" w14:textId="77777777" w:rsidR="001D7DD4" w:rsidRPr="00291CFA" w:rsidRDefault="007469B1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25,9</w:t>
            </w:r>
          </w:p>
        </w:tc>
        <w:tc>
          <w:tcPr>
            <w:tcW w:w="589" w:type="pct"/>
            <w:tcBorders>
              <w:top w:val="nil"/>
            </w:tcBorders>
          </w:tcPr>
          <w:p w14:paraId="0E27C9B9" w14:textId="77777777" w:rsidR="001D7DD4" w:rsidRPr="00291CFA" w:rsidRDefault="007469B1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2,8</w:t>
            </w:r>
          </w:p>
        </w:tc>
        <w:tc>
          <w:tcPr>
            <w:tcW w:w="1695" w:type="pct"/>
            <w:tcBorders>
              <w:top w:val="nil"/>
            </w:tcBorders>
          </w:tcPr>
          <w:p w14:paraId="27726E76" w14:textId="77777777" w:rsidR="001D7DD4" w:rsidRPr="00291CFA" w:rsidRDefault="007469B1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24,4</w:t>
            </w:r>
          </w:p>
        </w:tc>
        <w:tc>
          <w:tcPr>
            <w:tcW w:w="1113" w:type="pct"/>
            <w:tcBorders>
              <w:top w:val="nil"/>
            </w:tcBorders>
          </w:tcPr>
          <w:p w14:paraId="6C047DCE" w14:textId="77777777" w:rsidR="001D7DD4" w:rsidRPr="00291CFA" w:rsidRDefault="001D7DD4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27,</w:t>
            </w:r>
            <w:r w:rsidR="007469B1" w:rsidRPr="00291CFA">
              <w:rPr>
                <w:rFonts w:ascii="Arial" w:hAnsi="Arial" w:cs="Arial"/>
                <w:color w:val="000000"/>
                <w:sz w:val="20"/>
                <w:szCs w:val="18"/>
              </w:rPr>
              <w:t>4</w:t>
            </w:r>
          </w:p>
        </w:tc>
      </w:tr>
      <w:tr w:rsidR="001D7DD4" w:rsidRPr="00291CFA" w14:paraId="7CF8D7FC" w14:textId="77777777" w:rsidTr="003A55DD">
        <w:trPr>
          <w:jc w:val="center"/>
        </w:trPr>
        <w:tc>
          <w:tcPr>
            <w:tcW w:w="1052" w:type="pct"/>
          </w:tcPr>
          <w:p w14:paraId="5DA5B373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2.8</w:t>
            </w:r>
          </w:p>
        </w:tc>
        <w:tc>
          <w:tcPr>
            <w:tcW w:w="551" w:type="pct"/>
          </w:tcPr>
          <w:p w14:paraId="38E21A72" w14:textId="77777777" w:rsidR="001D7DD4" w:rsidRPr="00291CFA" w:rsidRDefault="001D7DD4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2</w:t>
            </w:r>
            <w:r w:rsidR="007469B1" w:rsidRPr="00291CFA">
              <w:rPr>
                <w:rFonts w:ascii="Arial" w:hAnsi="Arial" w:cs="Arial"/>
                <w:color w:val="000000"/>
                <w:sz w:val="20"/>
                <w:szCs w:val="18"/>
              </w:rPr>
              <w:t>5</w:t>
            </w: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,</w:t>
            </w:r>
            <w:r w:rsidR="007469B1" w:rsidRPr="00291CFA">
              <w:rPr>
                <w:rFonts w:ascii="Arial" w:hAnsi="Arial" w:cs="Arial"/>
                <w:color w:val="000000"/>
                <w:sz w:val="20"/>
                <w:szCs w:val="18"/>
              </w:rPr>
              <w:t>9</w:t>
            </w:r>
          </w:p>
        </w:tc>
        <w:tc>
          <w:tcPr>
            <w:tcW w:w="589" w:type="pct"/>
          </w:tcPr>
          <w:p w14:paraId="551D4ED2" w14:textId="77777777" w:rsidR="001D7DD4" w:rsidRPr="00291CFA" w:rsidRDefault="007469B1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2,8</w:t>
            </w:r>
          </w:p>
        </w:tc>
        <w:tc>
          <w:tcPr>
            <w:tcW w:w="1695" w:type="pct"/>
          </w:tcPr>
          <w:p w14:paraId="6065AC19" w14:textId="77777777" w:rsidR="001D7DD4" w:rsidRPr="00291CFA" w:rsidRDefault="001D7DD4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24,</w:t>
            </w:r>
            <w:r w:rsidR="007469B1" w:rsidRPr="00291CFA">
              <w:rPr>
                <w:rFonts w:ascii="Arial" w:hAnsi="Arial" w:cs="Arial"/>
                <w:color w:val="000000"/>
                <w:sz w:val="20"/>
                <w:szCs w:val="18"/>
              </w:rPr>
              <w:t>3</w:t>
            </w:r>
          </w:p>
        </w:tc>
        <w:tc>
          <w:tcPr>
            <w:tcW w:w="1113" w:type="pct"/>
          </w:tcPr>
          <w:p w14:paraId="378824CF" w14:textId="77777777" w:rsidR="001D7DD4" w:rsidRPr="00291CFA" w:rsidRDefault="001D7DD4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27,</w:t>
            </w:r>
            <w:r w:rsidR="007469B1" w:rsidRPr="00291CFA">
              <w:rPr>
                <w:rFonts w:ascii="Arial" w:hAnsi="Arial" w:cs="Arial"/>
                <w:color w:val="000000"/>
                <w:sz w:val="20"/>
                <w:szCs w:val="18"/>
              </w:rPr>
              <w:t>4</w:t>
            </w:r>
          </w:p>
        </w:tc>
      </w:tr>
      <w:tr w:rsidR="001D7DD4" w:rsidRPr="00291CFA" w14:paraId="5B771409" w14:textId="77777777" w:rsidTr="003A55DD">
        <w:trPr>
          <w:jc w:val="center"/>
        </w:trPr>
        <w:tc>
          <w:tcPr>
            <w:tcW w:w="1052" w:type="pct"/>
          </w:tcPr>
          <w:p w14:paraId="7182E6FD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3.8</w:t>
            </w:r>
          </w:p>
        </w:tc>
        <w:tc>
          <w:tcPr>
            <w:tcW w:w="551" w:type="pct"/>
          </w:tcPr>
          <w:p w14:paraId="45E46F45" w14:textId="77777777" w:rsidR="001D7DD4" w:rsidRPr="00291CFA" w:rsidRDefault="001D7DD4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44,</w:t>
            </w:r>
            <w:r w:rsidR="007469B1" w:rsidRPr="00291CFA">
              <w:rPr>
                <w:rFonts w:ascii="Arial" w:hAnsi="Arial" w:cs="Arial"/>
                <w:color w:val="000000"/>
                <w:sz w:val="20"/>
                <w:szCs w:val="18"/>
              </w:rPr>
              <w:t>3</w:t>
            </w:r>
          </w:p>
        </w:tc>
        <w:tc>
          <w:tcPr>
            <w:tcW w:w="589" w:type="pct"/>
          </w:tcPr>
          <w:p w14:paraId="678D918A" w14:textId="77777777" w:rsidR="001D7DD4" w:rsidRPr="00291CFA" w:rsidRDefault="001D7DD4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2,</w:t>
            </w:r>
            <w:r w:rsidR="007469B1" w:rsidRPr="00291CFA">
              <w:rPr>
                <w:rFonts w:ascii="Arial" w:hAnsi="Arial" w:cs="Arial"/>
                <w:color w:val="000000"/>
                <w:sz w:val="20"/>
                <w:szCs w:val="18"/>
              </w:rPr>
              <w:t>2</w:t>
            </w:r>
          </w:p>
        </w:tc>
        <w:tc>
          <w:tcPr>
            <w:tcW w:w="1695" w:type="pct"/>
          </w:tcPr>
          <w:p w14:paraId="3D15556B" w14:textId="77777777" w:rsidR="001D7DD4" w:rsidRPr="00291CFA" w:rsidRDefault="001D7DD4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43,</w:t>
            </w:r>
            <w:r w:rsidR="007469B1" w:rsidRPr="00291CFA">
              <w:rPr>
                <w:rFonts w:ascii="Arial" w:hAnsi="Arial" w:cs="Arial"/>
                <w:color w:val="000000"/>
                <w:sz w:val="20"/>
                <w:szCs w:val="18"/>
              </w:rPr>
              <w:t>2</w:t>
            </w:r>
          </w:p>
        </w:tc>
        <w:tc>
          <w:tcPr>
            <w:tcW w:w="1113" w:type="pct"/>
          </w:tcPr>
          <w:p w14:paraId="767AAE21" w14:textId="77777777" w:rsidR="001D7DD4" w:rsidRPr="00291CFA" w:rsidRDefault="001D7DD4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45,4</w:t>
            </w:r>
          </w:p>
        </w:tc>
      </w:tr>
      <w:tr w:rsidR="001D7DD4" w:rsidRPr="00291CFA" w14:paraId="53025DBA" w14:textId="77777777" w:rsidTr="003A55DD">
        <w:trPr>
          <w:jc w:val="center"/>
        </w:trPr>
        <w:tc>
          <w:tcPr>
            <w:tcW w:w="1052" w:type="pct"/>
          </w:tcPr>
          <w:p w14:paraId="0248746A" w14:textId="77777777" w:rsidR="001D7DD4" w:rsidRPr="00291CFA" w:rsidRDefault="001D7DD4" w:rsidP="003A55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4.8</w:t>
            </w:r>
          </w:p>
        </w:tc>
        <w:tc>
          <w:tcPr>
            <w:tcW w:w="551" w:type="pct"/>
          </w:tcPr>
          <w:p w14:paraId="30A6C380" w14:textId="77777777" w:rsidR="001D7DD4" w:rsidRPr="00291CFA" w:rsidRDefault="001D7DD4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44,7</w:t>
            </w:r>
          </w:p>
        </w:tc>
        <w:tc>
          <w:tcPr>
            <w:tcW w:w="589" w:type="pct"/>
          </w:tcPr>
          <w:p w14:paraId="08A6D9CD" w14:textId="77777777" w:rsidR="001D7DD4" w:rsidRPr="00291CFA" w:rsidRDefault="007469B1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1,9</w:t>
            </w:r>
          </w:p>
        </w:tc>
        <w:tc>
          <w:tcPr>
            <w:tcW w:w="1695" w:type="pct"/>
          </w:tcPr>
          <w:p w14:paraId="03FE3EDB" w14:textId="77777777" w:rsidR="001D7DD4" w:rsidRPr="00291CFA" w:rsidRDefault="001D7DD4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43,</w:t>
            </w:r>
            <w:r w:rsidR="007469B1" w:rsidRPr="00291CFA">
              <w:rPr>
                <w:rFonts w:ascii="Arial" w:hAnsi="Arial" w:cs="Arial"/>
                <w:color w:val="000000"/>
                <w:sz w:val="20"/>
                <w:szCs w:val="18"/>
              </w:rPr>
              <w:t>7</w:t>
            </w:r>
          </w:p>
        </w:tc>
        <w:tc>
          <w:tcPr>
            <w:tcW w:w="1113" w:type="pct"/>
          </w:tcPr>
          <w:p w14:paraId="4BBDFF92" w14:textId="77777777" w:rsidR="001D7DD4" w:rsidRPr="00291CFA" w:rsidRDefault="001D7DD4" w:rsidP="003A55D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45,</w:t>
            </w:r>
            <w:r w:rsidR="007469B1" w:rsidRPr="00291CFA">
              <w:rPr>
                <w:rFonts w:ascii="Arial" w:hAnsi="Arial" w:cs="Arial"/>
                <w:color w:val="000000"/>
                <w:sz w:val="20"/>
                <w:szCs w:val="18"/>
              </w:rPr>
              <w:t>7</w:t>
            </w:r>
          </w:p>
        </w:tc>
      </w:tr>
    </w:tbl>
    <w:p w14:paraId="1CD292AC" w14:textId="77777777" w:rsidR="0032229B" w:rsidRPr="0032229B" w:rsidRDefault="00775067" w:rsidP="003A55DD">
      <w:pPr>
        <w:tabs>
          <w:tab w:val="center" w:pos="319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La tabla 2 muestra la relación del brote anormal y </w:t>
      </w:r>
      <w:r w:rsidR="0032229B" w:rsidRPr="0032229B">
        <w:rPr>
          <w:rFonts w:ascii="Arial" w:hAnsi="Arial" w:cs="Arial"/>
          <w:bCs/>
          <w:color w:val="000000"/>
          <w:sz w:val="24"/>
          <w:szCs w:val="24"/>
        </w:rPr>
        <w:t>la angulación inadecuada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; donde </w:t>
      </w:r>
      <w:r w:rsidR="0032229B" w:rsidRPr="0032229B">
        <w:rPr>
          <w:rFonts w:ascii="Arial" w:hAnsi="Arial" w:cs="Arial"/>
          <w:bCs/>
          <w:color w:val="000000"/>
          <w:sz w:val="24"/>
          <w:szCs w:val="24"/>
        </w:rPr>
        <w:t>los superiores mostraron ángulos obtusos y los inferiores agudos, siendo los 2.8 los de mayor promedio (128</w:t>
      </w:r>
      <w:r>
        <w:rPr>
          <w:rFonts w:ascii="Arial" w:hAnsi="Arial" w:cs="Arial"/>
          <w:bCs/>
          <w:color w:val="000000"/>
          <w:sz w:val="24"/>
          <w:szCs w:val="24"/>
        </w:rPr>
        <w:t>,3º) y el menor los 4.8 (58,8º)</w:t>
      </w:r>
      <w:r w:rsidR="0032229B" w:rsidRPr="0032229B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5518BC0" w14:textId="77777777" w:rsidR="008A458B" w:rsidRPr="00666FFB" w:rsidRDefault="008A458B" w:rsidP="00775067">
      <w:pPr>
        <w:tabs>
          <w:tab w:val="center" w:pos="319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6FFB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Tabla </w:t>
      </w:r>
      <w:r w:rsidR="00775067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666FFB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32229B">
        <w:rPr>
          <w:rFonts w:ascii="Arial" w:hAnsi="Arial" w:cs="Arial"/>
          <w:b/>
          <w:bCs/>
          <w:color w:val="000000"/>
          <w:sz w:val="24"/>
          <w:szCs w:val="24"/>
        </w:rPr>
        <w:t>Localización de los terceros molares con brote anormal y p</w:t>
      </w:r>
      <w:r w:rsidRPr="00666FFB">
        <w:rPr>
          <w:rFonts w:ascii="Arial" w:hAnsi="Arial" w:cs="Arial"/>
          <w:b/>
          <w:bCs/>
          <w:color w:val="000000"/>
          <w:sz w:val="24"/>
          <w:szCs w:val="24"/>
        </w:rPr>
        <w:t xml:space="preserve">romedio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angulación</w:t>
      </w:r>
      <w:r w:rsidRPr="00666FF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26C20">
        <w:rPr>
          <w:rFonts w:ascii="Arial" w:hAnsi="Arial" w:cs="Arial"/>
          <w:b/>
          <w:bCs/>
          <w:color w:val="000000"/>
          <w:sz w:val="24"/>
          <w:szCs w:val="24"/>
        </w:rPr>
        <w:t xml:space="preserve">inadecuada 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026"/>
        <w:gridCol w:w="1062"/>
        <w:gridCol w:w="1135"/>
        <w:gridCol w:w="3511"/>
        <w:gridCol w:w="1900"/>
      </w:tblGrid>
      <w:tr w:rsidR="008A458B" w:rsidRPr="00291CFA" w14:paraId="477AF604" w14:textId="77777777" w:rsidTr="001A4011">
        <w:trPr>
          <w:jc w:val="center"/>
        </w:trPr>
        <w:tc>
          <w:tcPr>
            <w:tcW w:w="1052" w:type="pct"/>
            <w:vMerge w:val="restart"/>
          </w:tcPr>
          <w:p w14:paraId="346B3897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Localización</w:t>
            </w:r>
          </w:p>
          <w:p w14:paraId="1066CBA8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29F947E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948" w:type="pct"/>
            <w:gridSpan w:val="4"/>
            <w:tcBorders>
              <w:bottom w:val="single" w:sz="4" w:space="0" w:color="auto"/>
            </w:tcBorders>
          </w:tcPr>
          <w:p w14:paraId="4F1082E9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Espacio óseo posterior</w:t>
            </w:r>
            <w:r w:rsidR="00775067" w:rsidRPr="00291CFA">
              <w:rPr>
                <w:rFonts w:ascii="Arial" w:hAnsi="Arial" w:cs="Arial"/>
                <w:b/>
                <w:sz w:val="20"/>
                <w:szCs w:val="24"/>
              </w:rPr>
              <w:t xml:space="preserve"> g</w:t>
            </w:r>
            <w:r w:rsidRPr="00291CFA">
              <w:rPr>
                <w:rFonts w:ascii="Arial" w:hAnsi="Arial" w:cs="Arial"/>
                <w:b/>
                <w:sz w:val="20"/>
                <w:szCs w:val="24"/>
              </w:rPr>
              <w:t>rados (º)</w:t>
            </w:r>
          </w:p>
        </w:tc>
      </w:tr>
      <w:tr w:rsidR="008A458B" w:rsidRPr="00291CFA" w14:paraId="0030D10D" w14:textId="77777777" w:rsidTr="00775067">
        <w:trPr>
          <w:jc w:val="center"/>
        </w:trPr>
        <w:tc>
          <w:tcPr>
            <w:tcW w:w="1052" w:type="pct"/>
            <w:vMerge/>
          </w:tcPr>
          <w:p w14:paraId="533CDB55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</w:tcBorders>
          </w:tcPr>
          <w:p w14:paraId="60B72A96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DE9AD1B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noProof/>
                <w:sz w:val="20"/>
                <w:szCs w:val="24"/>
              </w:rPr>
              <w:drawing>
                <wp:inline distT="0" distB="0" distL="0" distR="0" wp14:anchorId="015E71D6" wp14:editId="1F41D8BD">
                  <wp:extent cx="233045" cy="276225"/>
                  <wp:effectExtent l="19050" t="0" r="0" b="0"/>
                  <wp:docPr id="3" name="Imagen 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</w:tcBorders>
          </w:tcPr>
          <w:p w14:paraId="38A2E53D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C411586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DE</w:t>
            </w:r>
          </w:p>
        </w:tc>
        <w:tc>
          <w:tcPr>
            <w:tcW w:w="280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E390A4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Intervalo de confianza para la media al 95%</w:t>
            </w:r>
          </w:p>
        </w:tc>
      </w:tr>
      <w:tr w:rsidR="008A458B" w:rsidRPr="00291CFA" w14:paraId="6ADE5709" w14:textId="77777777" w:rsidTr="00775067">
        <w:trPr>
          <w:trHeight w:val="475"/>
          <w:jc w:val="center"/>
        </w:trPr>
        <w:tc>
          <w:tcPr>
            <w:tcW w:w="1052" w:type="pct"/>
            <w:vMerge/>
            <w:tcBorders>
              <w:bottom w:val="single" w:sz="4" w:space="0" w:color="auto"/>
            </w:tcBorders>
          </w:tcPr>
          <w:p w14:paraId="6BD0A1A8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D6A43E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67AA46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822" w:type="pct"/>
            <w:tcBorders>
              <w:top w:val="single" w:sz="4" w:space="0" w:color="000000"/>
              <w:bottom w:val="single" w:sz="4" w:space="0" w:color="auto"/>
            </w:tcBorders>
          </w:tcPr>
          <w:p w14:paraId="19FC31C6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Límite inferior</w:t>
            </w:r>
          </w:p>
        </w:tc>
        <w:tc>
          <w:tcPr>
            <w:tcW w:w="985" w:type="pct"/>
            <w:tcBorders>
              <w:top w:val="single" w:sz="4" w:space="0" w:color="000000"/>
              <w:bottom w:val="single" w:sz="4" w:space="0" w:color="auto"/>
            </w:tcBorders>
          </w:tcPr>
          <w:p w14:paraId="7B0E3398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Límite superior</w:t>
            </w:r>
          </w:p>
        </w:tc>
      </w:tr>
      <w:tr w:rsidR="008A458B" w:rsidRPr="00291CFA" w14:paraId="6E686FF0" w14:textId="77777777" w:rsidTr="00775067">
        <w:trPr>
          <w:jc w:val="center"/>
        </w:trPr>
        <w:tc>
          <w:tcPr>
            <w:tcW w:w="1052" w:type="pct"/>
            <w:tcBorders>
              <w:top w:val="nil"/>
            </w:tcBorders>
          </w:tcPr>
          <w:p w14:paraId="6EBDE82E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1.8</w:t>
            </w:r>
          </w:p>
        </w:tc>
        <w:tc>
          <w:tcPr>
            <w:tcW w:w="551" w:type="pct"/>
            <w:tcBorders>
              <w:top w:val="nil"/>
            </w:tcBorders>
          </w:tcPr>
          <w:p w14:paraId="06812CEB" w14:textId="77777777" w:rsidR="008A458B" w:rsidRPr="00291CFA" w:rsidRDefault="008A458B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12</w:t>
            </w:r>
            <w:r w:rsidR="006A4DE4" w:rsidRPr="00291CFA">
              <w:rPr>
                <w:rFonts w:ascii="Arial" w:hAnsi="Arial" w:cs="Arial"/>
                <w:color w:val="000000"/>
                <w:sz w:val="20"/>
                <w:szCs w:val="18"/>
              </w:rPr>
              <w:t>4</w:t>
            </w: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,</w:t>
            </w:r>
            <w:r w:rsidR="006A4DE4" w:rsidRPr="00291CFA">
              <w:rPr>
                <w:rFonts w:ascii="Arial" w:hAnsi="Arial" w:cs="Arial"/>
                <w:color w:val="000000"/>
                <w:sz w:val="20"/>
                <w:szCs w:val="18"/>
              </w:rPr>
              <w:t>8</w:t>
            </w:r>
          </w:p>
        </w:tc>
        <w:tc>
          <w:tcPr>
            <w:tcW w:w="589" w:type="pct"/>
            <w:tcBorders>
              <w:top w:val="nil"/>
            </w:tcBorders>
          </w:tcPr>
          <w:p w14:paraId="24A4DEC2" w14:textId="77777777" w:rsidR="008A458B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10,2</w:t>
            </w:r>
          </w:p>
        </w:tc>
        <w:tc>
          <w:tcPr>
            <w:tcW w:w="1822" w:type="pct"/>
            <w:tcBorders>
              <w:top w:val="nil"/>
            </w:tcBorders>
          </w:tcPr>
          <w:p w14:paraId="64027278" w14:textId="77777777" w:rsidR="008A458B" w:rsidRPr="00291CFA" w:rsidRDefault="008A458B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</w:t>
            </w:r>
            <w:r w:rsidR="006A4DE4" w:rsidRPr="00291CFA">
              <w:rPr>
                <w:rFonts w:ascii="Arial" w:hAnsi="Arial" w:cs="Arial"/>
                <w:color w:val="000000"/>
                <w:sz w:val="20"/>
                <w:szCs w:val="18"/>
              </w:rPr>
              <w:t>19</w:t>
            </w: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,4</w:t>
            </w:r>
          </w:p>
        </w:tc>
        <w:tc>
          <w:tcPr>
            <w:tcW w:w="985" w:type="pct"/>
            <w:tcBorders>
              <w:top w:val="nil"/>
            </w:tcBorders>
          </w:tcPr>
          <w:p w14:paraId="4CEE5610" w14:textId="77777777" w:rsidR="008A458B" w:rsidRPr="00291CFA" w:rsidRDefault="008A458B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130,</w:t>
            </w:r>
            <w:r w:rsidR="006A4DE4" w:rsidRPr="00291CFA">
              <w:rPr>
                <w:rFonts w:ascii="Arial" w:hAnsi="Arial" w:cs="Arial"/>
                <w:color w:val="000000"/>
                <w:sz w:val="20"/>
                <w:szCs w:val="18"/>
              </w:rPr>
              <w:t>2</w:t>
            </w:r>
          </w:p>
        </w:tc>
      </w:tr>
      <w:tr w:rsidR="008A458B" w:rsidRPr="00291CFA" w14:paraId="40AD78A8" w14:textId="77777777" w:rsidTr="00775067">
        <w:trPr>
          <w:jc w:val="center"/>
        </w:trPr>
        <w:tc>
          <w:tcPr>
            <w:tcW w:w="1052" w:type="pct"/>
          </w:tcPr>
          <w:p w14:paraId="379B3902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2.8</w:t>
            </w:r>
          </w:p>
        </w:tc>
        <w:tc>
          <w:tcPr>
            <w:tcW w:w="551" w:type="pct"/>
          </w:tcPr>
          <w:p w14:paraId="58E6CE14" w14:textId="77777777" w:rsidR="008A458B" w:rsidRPr="00291CFA" w:rsidRDefault="008A458B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12</w:t>
            </w:r>
            <w:r w:rsidR="00A74AF9" w:rsidRPr="00291CFA">
              <w:rPr>
                <w:rFonts w:ascii="Arial" w:hAnsi="Arial" w:cs="Arial"/>
                <w:color w:val="000000"/>
                <w:sz w:val="20"/>
                <w:szCs w:val="18"/>
              </w:rPr>
              <w:t>8</w:t>
            </w: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,</w:t>
            </w:r>
            <w:r w:rsidR="00A74AF9" w:rsidRPr="00291CFA">
              <w:rPr>
                <w:rFonts w:ascii="Arial" w:hAnsi="Arial" w:cs="Arial"/>
                <w:color w:val="000000"/>
                <w:sz w:val="20"/>
                <w:szCs w:val="18"/>
              </w:rPr>
              <w:t>3</w:t>
            </w:r>
          </w:p>
        </w:tc>
        <w:tc>
          <w:tcPr>
            <w:tcW w:w="589" w:type="pct"/>
          </w:tcPr>
          <w:p w14:paraId="297CB2A1" w14:textId="77777777" w:rsidR="008A458B" w:rsidRPr="00291CFA" w:rsidRDefault="008A458B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9,5</w:t>
            </w:r>
          </w:p>
        </w:tc>
        <w:tc>
          <w:tcPr>
            <w:tcW w:w="1822" w:type="pct"/>
          </w:tcPr>
          <w:p w14:paraId="2FDD8A67" w14:textId="77777777" w:rsidR="008A458B" w:rsidRPr="00291CFA" w:rsidRDefault="00A74AF9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123</w:t>
            </w:r>
            <w:r w:rsidR="008A458B" w:rsidRPr="00291CFA">
              <w:rPr>
                <w:rFonts w:ascii="Arial" w:hAnsi="Arial" w:cs="Arial"/>
                <w:color w:val="000000"/>
                <w:sz w:val="20"/>
                <w:szCs w:val="18"/>
              </w:rPr>
              <w:t>,</w:t>
            </w: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985" w:type="pct"/>
          </w:tcPr>
          <w:p w14:paraId="611368EF" w14:textId="77777777" w:rsidR="008A458B" w:rsidRPr="00291CFA" w:rsidRDefault="00A74AF9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133</w:t>
            </w:r>
            <w:r w:rsidR="008A458B" w:rsidRPr="00291CFA">
              <w:rPr>
                <w:rFonts w:ascii="Arial" w:hAnsi="Arial" w:cs="Arial"/>
                <w:color w:val="000000"/>
                <w:sz w:val="20"/>
                <w:szCs w:val="18"/>
              </w:rPr>
              <w:t>,</w:t>
            </w: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5</w:t>
            </w:r>
          </w:p>
        </w:tc>
      </w:tr>
      <w:tr w:rsidR="008A458B" w:rsidRPr="00291CFA" w14:paraId="6C74A350" w14:textId="77777777" w:rsidTr="00775067">
        <w:trPr>
          <w:jc w:val="center"/>
        </w:trPr>
        <w:tc>
          <w:tcPr>
            <w:tcW w:w="1052" w:type="pct"/>
          </w:tcPr>
          <w:p w14:paraId="59FAAB15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3.8</w:t>
            </w:r>
          </w:p>
        </w:tc>
        <w:tc>
          <w:tcPr>
            <w:tcW w:w="551" w:type="pct"/>
          </w:tcPr>
          <w:p w14:paraId="00822D9C" w14:textId="77777777" w:rsidR="008A458B" w:rsidRPr="00291CFA" w:rsidRDefault="008A458B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6</w:t>
            </w:r>
            <w:r w:rsidR="000E0CC9" w:rsidRPr="00291CFA">
              <w:rPr>
                <w:rFonts w:ascii="Arial" w:hAnsi="Arial" w:cs="Arial"/>
                <w:color w:val="000000"/>
                <w:sz w:val="20"/>
                <w:szCs w:val="18"/>
              </w:rPr>
              <w:t>3,1</w:t>
            </w:r>
          </w:p>
        </w:tc>
        <w:tc>
          <w:tcPr>
            <w:tcW w:w="589" w:type="pct"/>
          </w:tcPr>
          <w:p w14:paraId="1D1C5925" w14:textId="77777777" w:rsidR="008A458B" w:rsidRPr="00291CFA" w:rsidRDefault="008A458B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8,</w:t>
            </w:r>
            <w:r w:rsidR="000E0CC9" w:rsidRPr="00291CFA">
              <w:rPr>
                <w:rFonts w:ascii="Arial" w:hAnsi="Arial" w:cs="Arial"/>
                <w:color w:val="000000"/>
                <w:sz w:val="20"/>
                <w:szCs w:val="18"/>
              </w:rPr>
              <w:t>7</w:t>
            </w:r>
          </w:p>
        </w:tc>
        <w:tc>
          <w:tcPr>
            <w:tcW w:w="1822" w:type="pct"/>
          </w:tcPr>
          <w:p w14:paraId="63949F01" w14:textId="77777777" w:rsidR="008A458B" w:rsidRPr="00291CFA" w:rsidRDefault="008A458B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58,</w:t>
            </w:r>
            <w:r w:rsidR="000E0CC9" w:rsidRPr="00291CFA">
              <w:rPr>
                <w:rFonts w:ascii="Arial" w:hAnsi="Arial" w:cs="Arial"/>
                <w:color w:val="000000"/>
                <w:sz w:val="20"/>
                <w:szCs w:val="18"/>
              </w:rPr>
              <w:t>7</w:t>
            </w:r>
          </w:p>
        </w:tc>
        <w:tc>
          <w:tcPr>
            <w:tcW w:w="985" w:type="pct"/>
          </w:tcPr>
          <w:p w14:paraId="57A4E867" w14:textId="77777777" w:rsidR="008A458B" w:rsidRPr="00291CFA" w:rsidRDefault="008A458B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6</w:t>
            </w:r>
            <w:r w:rsidR="000E0CC9" w:rsidRPr="00291CFA">
              <w:rPr>
                <w:rFonts w:ascii="Arial" w:hAnsi="Arial" w:cs="Arial"/>
                <w:color w:val="000000"/>
                <w:sz w:val="20"/>
                <w:szCs w:val="18"/>
              </w:rPr>
              <w:t>7</w:t>
            </w: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,</w:t>
            </w:r>
            <w:r w:rsidR="000E0CC9" w:rsidRPr="00291CFA">
              <w:rPr>
                <w:rFonts w:ascii="Arial" w:hAnsi="Arial" w:cs="Arial"/>
                <w:color w:val="000000"/>
                <w:sz w:val="20"/>
                <w:szCs w:val="18"/>
              </w:rPr>
              <w:t>4</w:t>
            </w:r>
          </w:p>
        </w:tc>
      </w:tr>
      <w:tr w:rsidR="008A458B" w:rsidRPr="00291CFA" w14:paraId="6DB17427" w14:textId="77777777" w:rsidTr="00775067">
        <w:trPr>
          <w:jc w:val="center"/>
        </w:trPr>
        <w:tc>
          <w:tcPr>
            <w:tcW w:w="1052" w:type="pct"/>
          </w:tcPr>
          <w:p w14:paraId="51AA237B" w14:textId="77777777" w:rsidR="008A458B" w:rsidRPr="00291CFA" w:rsidRDefault="008A458B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4.8</w:t>
            </w:r>
          </w:p>
        </w:tc>
        <w:tc>
          <w:tcPr>
            <w:tcW w:w="551" w:type="pct"/>
          </w:tcPr>
          <w:p w14:paraId="0720036C" w14:textId="77777777" w:rsidR="008A458B" w:rsidRPr="00291CFA" w:rsidRDefault="007903F2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58</w:t>
            </w:r>
            <w:r w:rsidR="008A458B" w:rsidRPr="00291CFA">
              <w:rPr>
                <w:rFonts w:ascii="Arial" w:hAnsi="Arial" w:cs="Arial"/>
                <w:color w:val="000000"/>
                <w:sz w:val="20"/>
                <w:szCs w:val="18"/>
              </w:rPr>
              <w:t>,8</w:t>
            </w:r>
          </w:p>
        </w:tc>
        <w:tc>
          <w:tcPr>
            <w:tcW w:w="589" w:type="pct"/>
          </w:tcPr>
          <w:p w14:paraId="723002A0" w14:textId="77777777" w:rsidR="008A458B" w:rsidRPr="00291CFA" w:rsidRDefault="008A458B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6,1</w:t>
            </w:r>
          </w:p>
        </w:tc>
        <w:tc>
          <w:tcPr>
            <w:tcW w:w="1822" w:type="pct"/>
          </w:tcPr>
          <w:p w14:paraId="36E19D66" w14:textId="77777777" w:rsidR="008A458B" w:rsidRPr="00291CFA" w:rsidRDefault="007903F2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55</w:t>
            </w:r>
            <w:r w:rsidR="008A458B" w:rsidRPr="00291CFA">
              <w:rPr>
                <w:rFonts w:ascii="Arial" w:hAnsi="Arial" w:cs="Arial"/>
                <w:color w:val="000000"/>
                <w:sz w:val="20"/>
                <w:szCs w:val="18"/>
              </w:rPr>
              <w:t>,</w:t>
            </w: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7</w:t>
            </w:r>
          </w:p>
        </w:tc>
        <w:tc>
          <w:tcPr>
            <w:tcW w:w="985" w:type="pct"/>
          </w:tcPr>
          <w:p w14:paraId="086033D7" w14:textId="77777777" w:rsidR="008A458B" w:rsidRPr="00291CFA" w:rsidRDefault="008A458B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6</w:t>
            </w:r>
            <w:r w:rsidR="007903F2" w:rsidRPr="00291CFA">
              <w:rPr>
                <w:rFonts w:ascii="Arial" w:hAnsi="Arial" w:cs="Arial"/>
                <w:color w:val="000000"/>
                <w:sz w:val="20"/>
                <w:szCs w:val="18"/>
              </w:rPr>
              <w:t>1</w:t>
            </w: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,</w:t>
            </w:r>
            <w:r w:rsidR="007903F2" w:rsidRPr="00291CFA">
              <w:rPr>
                <w:rFonts w:ascii="Arial" w:hAnsi="Arial" w:cs="Arial"/>
                <w:color w:val="000000"/>
                <w:sz w:val="20"/>
                <w:szCs w:val="18"/>
              </w:rPr>
              <w:t>9</w:t>
            </w:r>
          </w:p>
        </w:tc>
      </w:tr>
    </w:tbl>
    <w:p w14:paraId="4BC1ED16" w14:textId="77777777" w:rsidR="0032229B" w:rsidRPr="00165276" w:rsidRDefault="00775067" w:rsidP="00775067">
      <w:pPr>
        <w:tabs>
          <w:tab w:val="center" w:pos="319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 respecto a</w:t>
      </w:r>
      <w:r w:rsidR="0032229B" w:rsidRPr="00165276">
        <w:rPr>
          <w:rFonts w:ascii="Arial" w:hAnsi="Arial" w:cs="Arial"/>
          <w:bCs/>
          <w:color w:val="000000"/>
          <w:sz w:val="24"/>
          <w:szCs w:val="24"/>
        </w:rPr>
        <w:t xml:space="preserve">l diámetro mesiodistal </w:t>
      </w:r>
      <w:r>
        <w:rPr>
          <w:rFonts w:ascii="Arial" w:hAnsi="Arial" w:cs="Arial"/>
          <w:bCs/>
          <w:color w:val="000000"/>
          <w:sz w:val="24"/>
          <w:szCs w:val="24"/>
        </w:rPr>
        <w:t>inadecuado, se verificó u</w:t>
      </w:r>
      <w:r w:rsidR="0032229B" w:rsidRPr="00165276">
        <w:rPr>
          <w:rFonts w:ascii="Arial" w:hAnsi="Arial" w:cs="Arial"/>
          <w:bCs/>
          <w:color w:val="000000"/>
          <w:sz w:val="24"/>
          <w:szCs w:val="24"/>
        </w:rPr>
        <w:t xml:space="preserve">n brote anormal </w:t>
      </w:r>
      <w:r>
        <w:rPr>
          <w:rFonts w:ascii="Arial" w:hAnsi="Arial" w:cs="Arial"/>
          <w:bCs/>
          <w:color w:val="000000"/>
          <w:sz w:val="24"/>
          <w:szCs w:val="24"/>
        </w:rPr>
        <w:t>para valores de</w:t>
      </w:r>
      <w:r w:rsidR="00165276" w:rsidRPr="00165276">
        <w:rPr>
          <w:rFonts w:ascii="Arial" w:hAnsi="Arial" w:cs="Arial"/>
          <w:bCs/>
          <w:color w:val="000000"/>
          <w:sz w:val="24"/>
          <w:szCs w:val="24"/>
        </w:rPr>
        <w:t xml:space="preserve"> 13,2; 13,3; 15,4 y 15,7 mm para 1.8; 2.8; 3.8 y 4.8 respectivamente; tabla </w:t>
      </w:r>
      <w:r>
        <w:rPr>
          <w:rFonts w:ascii="Arial" w:hAnsi="Arial" w:cs="Arial"/>
          <w:bCs/>
          <w:color w:val="000000"/>
          <w:sz w:val="24"/>
          <w:szCs w:val="24"/>
        </w:rPr>
        <w:t>3</w:t>
      </w:r>
      <w:r w:rsidR="00165276" w:rsidRPr="00165276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69B134A4" w14:textId="77777777" w:rsidR="006A4DE4" w:rsidRPr="00666FFB" w:rsidRDefault="006A4DE4" w:rsidP="00775067">
      <w:pPr>
        <w:tabs>
          <w:tab w:val="center" w:pos="319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Tabla </w:t>
      </w:r>
      <w:r w:rsidR="00775067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666FFB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32229B">
        <w:rPr>
          <w:rFonts w:ascii="Arial" w:hAnsi="Arial" w:cs="Arial"/>
          <w:b/>
          <w:bCs/>
          <w:color w:val="000000"/>
          <w:sz w:val="24"/>
          <w:szCs w:val="24"/>
        </w:rPr>
        <w:t>Localización de los terceros molares con brote anormal y p</w:t>
      </w:r>
      <w:r w:rsidRPr="00666FFB">
        <w:rPr>
          <w:rFonts w:ascii="Arial" w:hAnsi="Arial" w:cs="Arial"/>
          <w:b/>
          <w:bCs/>
          <w:color w:val="000000"/>
          <w:sz w:val="24"/>
          <w:szCs w:val="24"/>
        </w:rPr>
        <w:t xml:space="preserve">romedio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diámetro mesiodistal</w:t>
      </w:r>
      <w:r w:rsidRPr="00666FF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2229B">
        <w:rPr>
          <w:rFonts w:ascii="Arial" w:hAnsi="Arial" w:cs="Arial"/>
          <w:b/>
          <w:bCs/>
          <w:color w:val="000000"/>
          <w:sz w:val="24"/>
          <w:szCs w:val="24"/>
        </w:rPr>
        <w:t>inadecuado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1204"/>
        <w:gridCol w:w="1135"/>
        <w:gridCol w:w="2981"/>
        <w:gridCol w:w="2287"/>
      </w:tblGrid>
      <w:tr w:rsidR="006A4DE4" w:rsidRPr="00291CFA" w14:paraId="340A00EC" w14:textId="77777777" w:rsidTr="001A4011">
        <w:trPr>
          <w:jc w:val="center"/>
        </w:trPr>
        <w:tc>
          <w:tcPr>
            <w:tcW w:w="1052" w:type="pct"/>
            <w:vMerge w:val="restart"/>
          </w:tcPr>
          <w:p w14:paraId="4E3D54A3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Localización</w:t>
            </w:r>
          </w:p>
          <w:p w14:paraId="21E4E1FC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4BE422F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948" w:type="pct"/>
            <w:gridSpan w:val="4"/>
            <w:tcBorders>
              <w:bottom w:val="single" w:sz="4" w:space="0" w:color="auto"/>
            </w:tcBorders>
          </w:tcPr>
          <w:p w14:paraId="71FDE368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Diámetro mesiodistal </w:t>
            </w:r>
            <w:r w:rsidR="00775067" w:rsidRPr="00291CFA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m</w:t>
            </w:r>
            <w:r w:rsidRPr="00291CFA">
              <w:rPr>
                <w:rFonts w:ascii="Arial" w:hAnsi="Arial" w:cs="Arial"/>
                <w:b/>
                <w:sz w:val="20"/>
                <w:szCs w:val="24"/>
              </w:rPr>
              <w:t>ilímetros (mm)</w:t>
            </w:r>
          </w:p>
        </w:tc>
      </w:tr>
      <w:tr w:rsidR="006A4DE4" w:rsidRPr="00291CFA" w14:paraId="64C6E8CD" w14:textId="77777777" w:rsidTr="00775067">
        <w:trPr>
          <w:jc w:val="center"/>
        </w:trPr>
        <w:tc>
          <w:tcPr>
            <w:tcW w:w="1052" w:type="pct"/>
            <w:vMerge/>
          </w:tcPr>
          <w:p w14:paraId="7ED22630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</w:tcBorders>
          </w:tcPr>
          <w:p w14:paraId="5F0FF214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1C6BFD0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noProof/>
                <w:sz w:val="20"/>
                <w:szCs w:val="24"/>
              </w:rPr>
              <w:drawing>
                <wp:inline distT="0" distB="0" distL="0" distR="0" wp14:anchorId="3C2494C4" wp14:editId="626BFAD4">
                  <wp:extent cx="233045" cy="276225"/>
                  <wp:effectExtent l="19050" t="0" r="0" b="0"/>
                  <wp:docPr id="4" name="Imagen 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</w:tcBorders>
          </w:tcPr>
          <w:p w14:paraId="40B93A2C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CF978E4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DE</w:t>
            </w:r>
          </w:p>
        </w:tc>
        <w:tc>
          <w:tcPr>
            <w:tcW w:w="273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9F7136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Intervalo de confianza para la media al 95%</w:t>
            </w:r>
          </w:p>
        </w:tc>
      </w:tr>
      <w:tr w:rsidR="006A4DE4" w:rsidRPr="00291CFA" w14:paraId="2E5D051C" w14:textId="77777777" w:rsidTr="00775067">
        <w:trPr>
          <w:trHeight w:val="475"/>
          <w:jc w:val="center"/>
        </w:trPr>
        <w:tc>
          <w:tcPr>
            <w:tcW w:w="1052" w:type="pct"/>
            <w:vMerge/>
            <w:tcBorders>
              <w:bottom w:val="single" w:sz="4" w:space="0" w:color="auto"/>
            </w:tcBorders>
          </w:tcPr>
          <w:p w14:paraId="3DDDE58D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BC2D57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241149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000000"/>
              <w:bottom w:val="single" w:sz="4" w:space="0" w:color="auto"/>
            </w:tcBorders>
          </w:tcPr>
          <w:p w14:paraId="7CB7FD93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Límite inferior</w:t>
            </w:r>
          </w:p>
        </w:tc>
        <w:tc>
          <w:tcPr>
            <w:tcW w:w="1187" w:type="pct"/>
            <w:tcBorders>
              <w:top w:val="single" w:sz="4" w:space="0" w:color="000000"/>
              <w:bottom w:val="single" w:sz="4" w:space="0" w:color="auto"/>
            </w:tcBorders>
          </w:tcPr>
          <w:p w14:paraId="3987EB5C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Límite superior</w:t>
            </w:r>
          </w:p>
        </w:tc>
      </w:tr>
      <w:tr w:rsidR="006A4DE4" w:rsidRPr="00291CFA" w14:paraId="1AA236A9" w14:textId="77777777" w:rsidTr="00775067">
        <w:trPr>
          <w:jc w:val="center"/>
        </w:trPr>
        <w:tc>
          <w:tcPr>
            <w:tcW w:w="1052" w:type="pct"/>
            <w:tcBorders>
              <w:top w:val="nil"/>
            </w:tcBorders>
          </w:tcPr>
          <w:p w14:paraId="4199D119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1.8</w:t>
            </w:r>
          </w:p>
        </w:tc>
        <w:tc>
          <w:tcPr>
            <w:tcW w:w="625" w:type="pct"/>
            <w:tcBorders>
              <w:top w:val="nil"/>
            </w:tcBorders>
          </w:tcPr>
          <w:p w14:paraId="44F78253" w14:textId="77777777" w:rsidR="006A4DE4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13,2</w:t>
            </w:r>
          </w:p>
        </w:tc>
        <w:tc>
          <w:tcPr>
            <w:tcW w:w="589" w:type="pct"/>
            <w:tcBorders>
              <w:top w:val="nil"/>
            </w:tcBorders>
          </w:tcPr>
          <w:p w14:paraId="664F869D" w14:textId="77777777" w:rsidR="006A4DE4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0,8</w:t>
            </w:r>
          </w:p>
        </w:tc>
        <w:tc>
          <w:tcPr>
            <w:tcW w:w="1547" w:type="pct"/>
            <w:tcBorders>
              <w:top w:val="nil"/>
            </w:tcBorders>
          </w:tcPr>
          <w:p w14:paraId="13EC146C" w14:textId="77777777" w:rsidR="006A4DE4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12,8</w:t>
            </w:r>
          </w:p>
        </w:tc>
        <w:tc>
          <w:tcPr>
            <w:tcW w:w="1187" w:type="pct"/>
            <w:tcBorders>
              <w:top w:val="nil"/>
            </w:tcBorders>
          </w:tcPr>
          <w:p w14:paraId="62D82F7A" w14:textId="77777777" w:rsidR="006A4DE4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13,6</w:t>
            </w:r>
          </w:p>
        </w:tc>
      </w:tr>
      <w:tr w:rsidR="006A4DE4" w:rsidRPr="00291CFA" w14:paraId="78C78C56" w14:textId="77777777" w:rsidTr="00775067">
        <w:trPr>
          <w:jc w:val="center"/>
        </w:trPr>
        <w:tc>
          <w:tcPr>
            <w:tcW w:w="1052" w:type="pct"/>
          </w:tcPr>
          <w:p w14:paraId="5C17B4FA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2.8</w:t>
            </w:r>
          </w:p>
        </w:tc>
        <w:tc>
          <w:tcPr>
            <w:tcW w:w="625" w:type="pct"/>
          </w:tcPr>
          <w:p w14:paraId="1486D4E2" w14:textId="77777777" w:rsidR="006A4DE4" w:rsidRPr="00291CFA" w:rsidRDefault="00A74AF9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13,0</w:t>
            </w:r>
          </w:p>
        </w:tc>
        <w:tc>
          <w:tcPr>
            <w:tcW w:w="589" w:type="pct"/>
          </w:tcPr>
          <w:p w14:paraId="13A19176" w14:textId="77777777" w:rsidR="006A4DE4" w:rsidRPr="00291CFA" w:rsidRDefault="00A74AF9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1,1</w:t>
            </w:r>
          </w:p>
        </w:tc>
        <w:tc>
          <w:tcPr>
            <w:tcW w:w="1547" w:type="pct"/>
          </w:tcPr>
          <w:p w14:paraId="3856078D" w14:textId="77777777" w:rsidR="006A4DE4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12,4</w:t>
            </w:r>
          </w:p>
        </w:tc>
        <w:tc>
          <w:tcPr>
            <w:tcW w:w="1187" w:type="pct"/>
          </w:tcPr>
          <w:p w14:paraId="576C8217" w14:textId="77777777" w:rsidR="006A4DE4" w:rsidRPr="00291CFA" w:rsidRDefault="00A74AF9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13,6</w:t>
            </w:r>
          </w:p>
        </w:tc>
      </w:tr>
      <w:tr w:rsidR="006A4DE4" w:rsidRPr="00291CFA" w14:paraId="10F74FCC" w14:textId="77777777" w:rsidTr="00775067">
        <w:trPr>
          <w:jc w:val="center"/>
        </w:trPr>
        <w:tc>
          <w:tcPr>
            <w:tcW w:w="1052" w:type="pct"/>
          </w:tcPr>
          <w:p w14:paraId="1A5FB33C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3.8</w:t>
            </w:r>
          </w:p>
        </w:tc>
        <w:tc>
          <w:tcPr>
            <w:tcW w:w="625" w:type="pct"/>
          </w:tcPr>
          <w:p w14:paraId="646BBF2A" w14:textId="77777777" w:rsidR="006A4DE4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15,4</w:t>
            </w:r>
          </w:p>
        </w:tc>
        <w:tc>
          <w:tcPr>
            <w:tcW w:w="589" w:type="pct"/>
          </w:tcPr>
          <w:p w14:paraId="14919B35" w14:textId="77777777" w:rsidR="006A4DE4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0,9</w:t>
            </w:r>
          </w:p>
        </w:tc>
        <w:tc>
          <w:tcPr>
            <w:tcW w:w="1547" w:type="pct"/>
          </w:tcPr>
          <w:p w14:paraId="30FBF7C7" w14:textId="77777777" w:rsidR="006A4DE4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14,9</w:t>
            </w:r>
          </w:p>
        </w:tc>
        <w:tc>
          <w:tcPr>
            <w:tcW w:w="1187" w:type="pct"/>
          </w:tcPr>
          <w:p w14:paraId="4D5D579F" w14:textId="77777777" w:rsidR="006A4DE4" w:rsidRPr="00291CFA" w:rsidRDefault="000E0CC9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15,9</w:t>
            </w:r>
          </w:p>
        </w:tc>
      </w:tr>
      <w:tr w:rsidR="006A4DE4" w:rsidRPr="00291CFA" w14:paraId="5A0C9E50" w14:textId="77777777" w:rsidTr="00775067">
        <w:trPr>
          <w:jc w:val="center"/>
        </w:trPr>
        <w:tc>
          <w:tcPr>
            <w:tcW w:w="1052" w:type="pct"/>
          </w:tcPr>
          <w:p w14:paraId="7ABD0133" w14:textId="77777777" w:rsidR="006A4DE4" w:rsidRPr="00291CFA" w:rsidRDefault="006A4DE4" w:rsidP="00775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1CFA">
              <w:rPr>
                <w:rFonts w:ascii="Arial" w:hAnsi="Arial" w:cs="Arial"/>
                <w:b/>
                <w:sz w:val="20"/>
                <w:szCs w:val="24"/>
              </w:rPr>
              <w:t>4.8</w:t>
            </w:r>
          </w:p>
        </w:tc>
        <w:tc>
          <w:tcPr>
            <w:tcW w:w="625" w:type="pct"/>
          </w:tcPr>
          <w:p w14:paraId="3FE3F54B" w14:textId="77777777" w:rsidR="006A4DE4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15,7</w:t>
            </w:r>
          </w:p>
        </w:tc>
        <w:tc>
          <w:tcPr>
            <w:tcW w:w="589" w:type="pct"/>
          </w:tcPr>
          <w:p w14:paraId="27460A26" w14:textId="77777777" w:rsidR="006A4DE4" w:rsidRPr="00291CFA" w:rsidRDefault="00BC4C90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0,9</w:t>
            </w:r>
          </w:p>
        </w:tc>
        <w:tc>
          <w:tcPr>
            <w:tcW w:w="1547" w:type="pct"/>
          </w:tcPr>
          <w:p w14:paraId="45002DB8" w14:textId="77777777" w:rsidR="006A4DE4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15,2</w:t>
            </w:r>
          </w:p>
        </w:tc>
        <w:tc>
          <w:tcPr>
            <w:tcW w:w="1187" w:type="pct"/>
          </w:tcPr>
          <w:p w14:paraId="32E6C47C" w14:textId="77777777" w:rsidR="006A4DE4" w:rsidRPr="00291CFA" w:rsidRDefault="006A4DE4" w:rsidP="0077506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91CFA">
              <w:rPr>
                <w:rFonts w:ascii="Arial" w:hAnsi="Arial" w:cs="Arial"/>
                <w:color w:val="000000"/>
                <w:sz w:val="20"/>
                <w:szCs w:val="18"/>
              </w:rPr>
              <w:t>16,2</w:t>
            </w:r>
          </w:p>
        </w:tc>
      </w:tr>
    </w:tbl>
    <w:p w14:paraId="31225807" w14:textId="77777777" w:rsidR="00662847" w:rsidRDefault="00F52879" w:rsidP="00775067">
      <w:pPr>
        <w:spacing w:before="240" w:after="0" w:line="360" w:lineRule="auto"/>
        <w:ind w:right="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DISCUSIÓN</w:t>
      </w:r>
    </w:p>
    <w:p w14:paraId="0D97CCC7" w14:textId="77777777" w:rsidR="00F12DD3" w:rsidRDefault="00F12DD3" w:rsidP="0045513F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Las particularidades de la muestra descritas en los resultados en cuanto a sexo y color de la piel, están relacionadas con las características de la población de donde fue extraída: la santiaguera; en la que se destaca el mestizaje y la mayor prevalencia de </w:t>
      </w:r>
      <w:proofErr w:type="gramStart"/>
      <w:r>
        <w:rPr>
          <w:rFonts w:ascii="Arial" w:hAnsi="Arial" w:cs="Arial"/>
          <w:sz w:val="24"/>
        </w:rPr>
        <w:t>féminas.</w:t>
      </w:r>
      <w:r>
        <w:rPr>
          <w:rFonts w:ascii="Arial" w:hAnsi="Arial" w:cs="Arial"/>
          <w:sz w:val="24"/>
          <w:vertAlign w:val="superscript"/>
        </w:rPr>
        <w:t>(</w:t>
      </w:r>
      <w:proofErr w:type="gramEnd"/>
      <w:r w:rsidR="0045513F">
        <w:rPr>
          <w:rFonts w:ascii="Arial" w:hAnsi="Arial" w:cs="Arial"/>
          <w:sz w:val="24"/>
          <w:vertAlign w:val="superscript"/>
        </w:rPr>
        <w:t>1,4-6</w:t>
      </w:r>
      <w:r>
        <w:rPr>
          <w:rFonts w:ascii="Arial" w:hAnsi="Arial" w:cs="Arial"/>
          <w:sz w:val="24"/>
          <w:vertAlign w:val="superscript"/>
        </w:rPr>
        <w:t>)</w:t>
      </w:r>
      <w:r>
        <w:rPr>
          <w:rFonts w:ascii="Arial" w:hAnsi="Arial" w:cs="Arial"/>
          <w:sz w:val="24"/>
        </w:rPr>
        <w:t xml:space="preserve"> A esto se añade una mayor localización de las hembras en estas edades, al </w:t>
      </w:r>
      <w:r w:rsidRPr="0017026B">
        <w:rPr>
          <w:rFonts w:ascii="Arial" w:hAnsi="Arial" w:cs="Arial"/>
          <w:sz w:val="24"/>
        </w:rPr>
        <w:t>no pasa</w:t>
      </w:r>
      <w:r>
        <w:rPr>
          <w:rFonts w:ascii="Arial" w:hAnsi="Arial" w:cs="Arial"/>
          <w:sz w:val="24"/>
        </w:rPr>
        <w:t>r</w:t>
      </w:r>
      <w:r w:rsidRPr="0017026B">
        <w:rPr>
          <w:rFonts w:ascii="Arial" w:hAnsi="Arial" w:cs="Arial"/>
          <w:sz w:val="24"/>
        </w:rPr>
        <w:t xml:space="preserve"> el servicio militar.</w:t>
      </w:r>
      <w:r>
        <w:rPr>
          <w:rFonts w:ascii="Arial" w:hAnsi="Arial" w:cs="Arial"/>
          <w:sz w:val="24"/>
        </w:rPr>
        <w:t xml:space="preserve"> Lo encontrado concuerda con estudios santiagueros de González y </w:t>
      </w:r>
      <w:proofErr w:type="gramStart"/>
      <w:r>
        <w:rPr>
          <w:rFonts w:ascii="Arial" w:hAnsi="Arial" w:cs="Arial"/>
          <w:sz w:val="24"/>
        </w:rPr>
        <w:t>colaboradores.</w:t>
      </w:r>
      <w:r>
        <w:rPr>
          <w:rFonts w:ascii="Arial" w:hAnsi="Arial" w:cs="Arial"/>
          <w:sz w:val="24"/>
          <w:vertAlign w:val="superscript"/>
        </w:rPr>
        <w:t>(</w:t>
      </w:r>
      <w:proofErr w:type="gramEnd"/>
      <w:r w:rsidR="0045513F">
        <w:rPr>
          <w:rFonts w:ascii="Arial" w:hAnsi="Arial" w:cs="Arial"/>
          <w:sz w:val="24"/>
          <w:vertAlign w:val="superscript"/>
        </w:rPr>
        <w:t>7,8,11</w:t>
      </w:r>
      <w:r>
        <w:rPr>
          <w:rFonts w:ascii="Arial" w:hAnsi="Arial" w:cs="Arial"/>
          <w:sz w:val="24"/>
          <w:vertAlign w:val="superscript"/>
        </w:rPr>
        <w:t>)</w:t>
      </w:r>
      <w:r w:rsidR="0045513F">
        <w:rPr>
          <w:rFonts w:ascii="Arial" w:hAnsi="Arial" w:cs="Arial"/>
          <w:sz w:val="24"/>
          <w:vertAlign w:val="superscript"/>
        </w:rPr>
        <w:t xml:space="preserve"> </w:t>
      </w:r>
      <w:r w:rsidR="006D770F">
        <w:rPr>
          <w:rFonts w:ascii="Arial" w:hAnsi="Arial" w:cs="Arial"/>
          <w:sz w:val="24"/>
          <w:szCs w:val="24"/>
        </w:rPr>
        <w:t xml:space="preserve">Estos resultados, por un lado, </w:t>
      </w:r>
      <w:r w:rsidR="00295751">
        <w:rPr>
          <w:rFonts w:ascii="Arial" w:hAnsi="Arial" w:cs="Arial"/>
          <w:sz w:val="24"/>
          <w:szCs w:val="24"/>
        </w:rPr>
        <w:t>confirman</w:t>
      </w:r>
      <w:r w:rsidR="006D770F">
        <w:rPr>
          <w:rFonts w:ascii="Arial" w:hAnsi="Arial" w:cs="Arial"/>
          <w:sz w:val="24"/>
          <w:szCs w:val="24"/>
        </w:rPr>
        <w:t xml:space="preserve"> lo descrito </w:t>
      </w:r>
      <w:r w:rsidR="00730D21">
        <w:rPr>
          <w:rFonts w:ascii="Arial" w:hAnsi="Arial" w:cs="Arial"/>
          <w:sz w:val="24"/>
          <w:szCs w:val="24"/>
        </w:rPr>
        <w:t>por algunos autores</w:t>
      </w:r>
      <w:r w:rsidR="006D770F">
        <w:rPr>
          <w:rFonts w:ascii="Arial" w:hAnsi="Arial" w:cs="Arial"/>
          <w:sz w:val="24"/>
          <w:szCs w:val="24"/>
          <w:vertAlign w:val="superscript"/>
        </w:rPr>
        <w:t>(</w:t>
      </w:r>
      <w:r w:rsidR="0045513F">
        <w:rPr>
          <w:rFonts w:ascii="Arial" w:hAnsi="Arial" w:cs="Arial"/>
          <w:sz w:val="24"/>
          <w:szCs w:val="24"/>
          <w:vertAlign w:val="superscript"/>
        </w:rPr>
        <w:t>4,7,12</w:t>
      </w:r>
      <w:r w:rsidR="006D770F">
        <w:rPr>
          <w:rFonts w:ascii="Arial" w:hAnsi="Arial" w:cs="Arial"/>
          <w:sz w:val="24"/>
          <w:szCs w:val="24"/>
          <w:vertAlign w:val="superscript"/>
        </w:rPr>
        <w:t xml:space="preserve">) </w:t>
      </w:r>
      <w:r w:rsidR="006D770F">
        <w:rPr>
          <w:rFonts w:ascii="Arial" w:hAnsi="Arial" w:cs="Arial"/>
          <w:sz w:val="24"/>
          <w:szCs w:val="24"/>
        </w:rPr>
        <w:t xml:space="preserve">donde se </w:t>
      </w:r>
      <w:r w:rsidR="00295751">
        <w:rPr>
          <w:rFonts w:ascii="Arial" w:hAnsi="Arial" w:cs="Arial"/>
          <w:sz w:val="24"/>
          <w:szCs w:val="24"/>
        </w:rPr>
        <w:t>plantea</w:t>
      </w:r>
      <w:r w:rsidR="006D770F">
        <w:rPr>
          <w:rFonts w:ascii="Arial" w:hAnsi="Arial" w:cs="Arial"/>
          <w:sz w:val="24"/>
          <w:szCs w:val="24"/>
        </w:rPr>
        <w:t xml:space="preserve"> que las hembras pudieran tener con mayor frecuencia problemas con el brote de los terceros molares, asociado a un menor tamaño en sus huesos basales (maxilar y mandíbula) donde deben desarrollarse y hacer erupción estos dientes.</w:t>
      </w:r>
      <w:r w:rsidR="009D06C7">
        <w:rPr>
          <w:rFonts w:ascii="Arial" w:hAnsi="Arial" w:cs="Arial"/>
          <w:sz w:val="24"/>
          <w:szCs w:val="24"/>
        </w:rPr>
        <w:t xml:space="preserve"> Sin embargo, pudiera asociarse a una prevalencia mayor de féminas en la presente serie.</w:t>
      </w:r>
    </w:p>
    <w:p w14:paraId="1397A5AB" w14:textId="77777777" w:rsidR="0045513F" w:rsidRDefault="006D770F" w:rsidP="004551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otro lado, </w:t>
      </w:r>
      <w:r w:rsidR="00295751">
        <w:rPr>
          <w:rFonts w:ascii="Arial" w:hAnsi="Arial" w:cs="Arial"/>
          <w:sz w:val="24"/>
          <w:szCs w:val="24"/>
        </w:rPr>
        <w:t xml:space="preserve">los datos sobre la variable racial se explica con la mezcla de razas donde se combinan rasgos de un grupo étnico con otro, trayendo consigo la desproporción entre </w:t>
      </w:r>
      <w:r w:rsidR="00295751">
        <w:rPr>
          <w:rFonts w:ascii="Arial" w:hAnsi="Arial" w:cs="Arial"/>
          <w:sz w:val="24"/>
          <w:szCs w:val="24"/>
        </w:rPr>
        <w:lastRenderedPageBreak/>
        <w:t>el volumen dentario y el espacio disponible en el maxilar y la mandíbula para la ubicación de los dientes (discrepancia hueso-diente</w:t>
      </w:r>
      <w:proofErr w:type="gramStart"/>
      <w:r w:rsidR="00295751">
        <w:rPr>
          <w:rFonts w:ascii="Arial" w:hAnsi="Arial" w:cs="Arial"/>
          <w:sz w:val="24"/>
          <w:szCs w:val="24"/>
        </w:rPr>
        <w:t>).</w:t>
      </w:r>
      <w:r w:rsidR="000618CA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45513F">
        <w:rPr>
          <w:rFonts w:ascii="Arial" w:hAnsi="Arial" w:cs="Arial"/>
          <w:sz w:val="24"/>
          <w:szCs w:val="24"/>
          <w:vertAlign w:val="superscript"/>
        </w:rPr>
        <w:t>4,7</w:t>
      </w:r>
      <w:r w:rsidR="000618CA">
        <w:rPr>
          <w:rFonts w:ascii="Arial" w:hAnsi="Arial" w:cs="Arial"/>
          <w:sz w:val="24"/>
          <w:szCs w:val="24"/>
          <w:vertAlign w:val="superscript"/>
        </w:rPr>
        <w:t>)</w:t>
      </w:r>
      <w:r w:rsidR="00295751">
        <w:rPr>
          <w:rFonts w:ascii="Arial" w:hAnsi="Arial" w:cs="Arial"/>
          <w:sz w:val="24"/>
          <w:szCs w:val="24"/>
        </w:rPr>
        <w:t xml:space="preserve"> </w:t>
      </w:r>
    </w:p>
    <w:p w14:paraId="3BBB4D84" w14:textId="77777777" w:rsidR="00E44E51" w:rsidRDefault="004A60B3" w:rsidP="004551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relación a la localización fueron mínimas las diferencias entre arcadas y hemiarcadas, aunque los terceros molares inferiores </w:t>
      </w:r>
      <w:r w:rsidR="00E44E51">
        <w:rPr>
          <w:rFonts w:ascii="Arial" w:hAnsi="Arial" w:cs="Arial"/>
          <w:sz w:val="24"/>
          <w:szCs w:val="24"/>
        </w:rPr>
        <w:t>prevalecieron</w:t>
      </w:r>
      <w:r>
        <w:rPr>
          <w:rFonts w:ascii="Arial" w:hAnsi="Arial" w:cs="Arial"/>
          <w:sz w:val="24"/>
          <w:szCs w:val="24"/>
        </w:rPr>
        <w:t xml:space="preserve"> en la anormalidad del brote con respecto a los superiores. Esto podría atribuirse</w:t>
      </w:r>
      <w:r w:rsidRPr="005E08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factores locales, principalmente</w:t>
      </w:r>
      <w:r w:rsidRPr="005E0871">
        <w:rPr>
          <w:rFonts w:ascii="Arial" w:hAnsi="Arial" w:cs="Arial"/>
          <w:color w:val="000000" w:themeColor="text1"/>
          <w:sz w:val="24"/>
          <w:szCs w:val="24"/>
        </w:rPr>
        <w:t xml:space="preserve"> porque la evolución de estos dientes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E0871">
        <w:rPr>
          <w:rFonts w:ascii="Arial" w:hAnsi="Arial" w:cs="Arial"/>
          <w:color w:val="000000" w:themeColor="text1"/>
          <w:sz w:val="24"/>
          <w:szCs w:val="24"/>
        </w:rPr>
        <w:t>discurre en un espacio muy limitado, entre el segundo molar y el borde anterior de la rama ascendente, por una parte, y entre las dos corticales óseas por otra, de las cuales la externa es espesa y muy compacta, por lo que se desvía más bien hacia la cortical interna y termina implantándose hacia lingual cuando lo consigue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B97246">
        <w:rPr>
          <w:rFonts w:ascii="Arial" w:hAnsi="Arial" w:cs="Arial"/>
          <w:color w:val="000000" w:themeColor="text1"/>
          <w:sz w:val="24"/>
          <w:szCs w:val="24"/>
          <w:vertAlign w:val="superscript"/>
        </w:rPr>
        <w:t>(13)</w:t>
      </w:r>
      <w:r w:rsidR="0045513F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E44E51">
        <w:rPr>
          <w:rFonts w:ascii="Arial" w:hAnsi="Arial" w:cs="Arial"/>
          <w:color w:val="000000" w:themeColor="text1"/>
          <w:sz w:val="24"/>
          <w:szCs w:val="24"/>
        </w:rPr>
        <w:t>Autores foráneos</w:t>
      </w:r>
      <w:r w:rsidR="00B97246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r w:rsidR="0045513F">
        <w:rPr>
          <w:rFonts w:ascii="Arial" w:hAnsi="Arial" w:cs="Arial"/>
          <w:color w:val="000000" w:themeColor="text1"/>
          <w:sz w:val="24"/>
          <w:szCs w:val="24"/>
          <w:vertAlign w:val="superscript"/>
        </w:rPr>
        <w:t>3,9,12</w:t>
      </w:r>
      <w:r w:rsidR="00B97246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 w:rsidR="00E44E51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E44E51">
        <w:rPr>
          <w:rFonts w:ascii="Arial" w:hAnsi="Arial" w:cs="Arial"/>
          <w:color w:val="000000" w:themeColor="text1"/>
          <w:sz w:val="24"/>
          <w:szCs w:val="24"/>
        </w:rPr>
        <w:t xml:space="preserve">así como otros santiagueros entre los que se destacan </w:t>
      </w:r>
      <w:r w:rsidR="00B97246">
        <w:rPr>
          <w:rFonts w:ascii="Arial" w:hAnsi="Arial" w:cs="Arial"/>
          <w:snapToGrid w:val="0"/>
          <w:sz w:val="24"/>
          <w:szCs w:val="24"/>
          <w:lang w:val="es-ES_tradnl" w:eastAsia="en-US"/>
        </w:rPr>
        <w:t>González y colaboradores</w:t>
      </w:r>
      <w:r w:rsidR="00B97246">
        <w:rPr>
          <w:rFonts w:ascii="Arial" w:hAnsi="Arial" w:cs="Arial"/>
          <w:snapToGrid w:val="0"/>
          <w:sz w:val="24"/>
          <w:szCs w:val="24"/>
          <w:vertAlign w:val="superscript"/>
          <w:lang w:val="es-ES_tradnl" w:eastAsia="en-US"/>
        </w:rPr>
        <w:t>(</w:t>
      </w:r>
      <w:r w:rsidR="0045513F">
        <w:rPr>
          <w:rFonts w:ascii="Arial" w:hAnsi="Arial" w:cs="Arial"/>
          <w:snapToGrid w:val="0"/>
          <w:sz w:val="24"/>
          <w:szCs w:val="24"/>
          <w:vertAlign w:val="superscript"/>
          <w:lang w:val="es-ES_tradnl" w:eastAsia="en-US"/>
        </w:rPr>
        <w:t>1,7</w:t>
      </w:r>
      <w:r w:rsidR="00B97246">
        <w:rPr>
          <w:rFonts w:ascii="Arial" w:hAnsi="Arial" w:cs="Arial"/>
          <w:snapToGrid w:val="0"/>
          <w:sz w:val="24"/>
          <w:szCs w:val="24"/>
          <w:vertAlign w:val="superscript"/>
          <w:lang w:val="es-ES_tradnl" w:eastAsia="en-US"/>
        </w:rPr>
        <w:t>)</w:t>
      </w:r>
      <w:r w:rsidR="00E44E51">
        <w:rPr>
          <w:rFonts w:ascii="Arial" w:hAnsi="Arial" w:cs="Arial"/>
          <w:snapToGrid w:val="0"/>
          <w:sz w:val="24"/>
          <w:szCs w:val="24"/>
          <w:lang w:val="es-ES_tradnl" w:eastAsia="en-US"/>
        </w:rPr>
        <w:t xml:space="preserve"> y González</w:t>
      </w:r>
      <w:r w:rsidR="00B97246">
        <w:rPr>
          <w:rFonts w:ascii="Arial" w:hAnsi="Arial" w:cs="Arial"/>
          <w:snapToGrid w:val="0"/>
          <w:sz w:val="24"/>
          <w:szCs w:val="24"/>
          <w:vertAlign w:val="superscript"/>
          <w:lang w:val="es-ES_tradnl" w:eastAsia="en-US"/>
        </w:rPr>
        <w:t>(</w:t>
      </w:r>
      <w:r w:rsidR="0045513F">
        <w:rPr>
          <w:rFonts w:ascii="Arial" w:hAnsi="Arial" w:cs="Arial"/>
          <w:snapToGrid w:val="0"/>
          <w:sz w:val="24"/>
          <w:szCs w:val="24"/>
          <w:vertAlign w:val="superscript"/>
          <w:lang w:val="es-ES_tradnl" w:eastAsia="en-US"/>
        </w:rPr>
        <w:t>4</w:t>
      </w:r>
      <w:r w:rsidR="00B97246">
        <w:rPr>
          <w:rFonts w:ascii="Arial" w:hAnsi="Arial" w:cs="Arial"/>
          <w:snapToGrid w:val="0"/>
          <w:sz w:val="24"/>
          <w:szCs w:val="24"/>
          <w:vertAlign w:val="superscript"/>
          <w:lang w:val="es-ES_tradnl" w:eastAsia="en-US"/>
        </w:rPr>
        <w:t>)</w:t>
      </w:r>
      <w:r w:rsidR="00E44E51">
        <w:rPr>
          <w:rFonts w:ascii="Arial" w:hAnsi="Arial" w:cs="Arial"/>
          <w:snapToGrid w:val="0"/>
          <w:sz w:val="24"/>
          <w:szCs w:val="24"/>
          <w:vertAlign w:val="superscript"/>
          <w:lang w:val="es-ES_tradnl" w:eastAsia="en-US"/>
        </w:rPr>
        <w:t xml:space="preserve"> </w:t>
      </w:r>
      <w:r w:rsidR="00E44E51">
        <w:rPr>
          <w:rFonts w:ascii="Arial" w:hAnsi="Arial" w:cs="Arial"/>
          <w:snapToGrid w:val="0"/>
          <w:sz w:val="24"/>
          <w:szCs w:val="24"/>
          <w:lang w:val="es-ES_tradnl" w:eastAsia="en-US"/>
        </w:rPr>
        <w:t>coinciden con una mayor prevalencia de brote anormal en féminas y en terceros molares inferiores.</w:t>
      </w:r>
      <w:r w:rsidR="0045513F">
        <w:rPr>
          <w:rFonts w:ascii="Arial" w:hAnsi="Arial" w:cs="Arial"/>
          <w:snapToGrid w:val="0"/>
          <w:sz w:val="24"/>
          <w:szCs w:val="24"/>
          <w:lang w:val="es-ES_tradnl" w:eastAsia="en-US"/>
        </w:rPr>
        <w:t xml:space="preserve"> </w:t>
      </w:r>
      <w:r w:rsidR="00F86F2C" w:rsidRPr="005E0871">
        <w:rPr>
          <w:rFonts w:ascii="Arial" w:hAnsi="Arial" w:cs="Arial"/>
          <w:color w:val="000000" w:themeColor="text1"/>
          <w:sz w:val="24"/>
          <w:szCs w:val="24"/>
        </w:rPr>
        <w:t xml:space="preserve">Respecto </w:t>
      </w:r>
      <w:r w:rsidR="00F86F2C">
        <w:rPr>
          <w:rFonts w:ascii="Arial" w:hAnsi="Arial" w:cs="Arial"/>
          <w:color w:val="000000" w:themeColor="text1"/>
          <w:sz w:val="24"/>
          <w:szCs w:val="24"/>
        </w:rPr>
        <w:t>al color de la piel</w:t>
      </w:r>
      <w:r w:rsidR="00F86F2C" w:rsidRPr="005E087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86F2C">
        <w:rPr>
          <w:rFonts w:ascii="Arial" w:hAnsi="Arial" w:cs="Arial"/>
          <w:color w:val="000000" w:themeColor="text1"/>
          <w:sz w:val="24"/>
          <w:szCs w:val="24"/>
        </w:rPr>
        <w:t xml:space="preserve">coinciden con la afectación en mestizos más no así con las relaciones de dependencia entre las categorías de esta variable, </w:t>
      </w:r>
      <w:r w:rsidR="00F86F2C" w:rsidRPr="005E0871">
        <w:rPr>
          <w:rFonts w:ascii="Arial" w:hAnsi="Arial" w:cs="Arial"/>
          <w:color w:val="000000" w:themeColor="text1"/>
          <w:sz w:val="24"/>
          <w:szCs w:val="24"/>
        </w:rPr>
        <w:t xml:space="preserve">Puerto </w:t>
      </w:r>
      <w:r w:rsidR="00F86F2C">
        <w:rPr>
          <w:rFonts w:ascii="Arial" w:hAnsi="Arial" w:cs="Arial"/>
          <w:color w:val="000000" w:themeColor="text1"/>
          <w:sz w:val="24"/>
          <w:szCs w:val="24"/>
        </w:rPr>
        <w:t xml:space="preserve">citados por </w:t>
      </w:r>
      <w:proofErr w:type="gramStart"/>
      <w:r w:rsidR="00B97246">
        <w:rPr>
          <w:rFonts w:ascii="Arial" w:hAnsi="Arial" w:cs="Arial"/>
          <w:color w:val="000000" w:themeColor="text1"/>
          <w:sz w:val="24"/>
          <w:szCs w:val="24"/>
        </w:rPr>
        <w:t>González</w:t>
      </w:r>
      <w:r w:rsidR="00F86F2C">
        <w:rPr>
          <w:rFonts w:ascii="Arial" w:hAnsi="Arial" w:cs="Arial"/>
          <w:color w:val="000000" w:themeColor="text1"/>
          <w:sz w:val="24"/>
          <w:szCs w:val="24"/>
        </w:rPr>
        <w:t>,</w:t>
      </w:r>
      <w:r w:rsidR="00B97246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proofErr w:type="gramEnd"/>
      <w:r w:rsidR="0045513F">
        <w:rPr>
          <w:rFonts w:ascii="Arial" w:hAnsi="Arial" w:cs="Arial"/>
          <w:color w:val="000000" w:themeColor="text1"/>
          <w:sz w:val="24"/>
          <w:szCs w:val="24"/>
          <w:vertAlign w:val="superscript"/>
        </w:rPr>
        <w:t>4</w:t>
      </w:r>
      <w:r w:rsidR="00B97246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 w:rsidR="00F86F2C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B97246" w:rsidRPr="005E42B1">
        <w:rPr>
          <w:rFonts w:ascii="Arial" w:hAnsi="Arial" w:cs="Arial"/>
          <w:color w:val="000000" w:themeColor="text1"/>
          <w:sz w:val="24"/>
          <w:szCs w:val="24"/>
        </w:rPr>
        <w:t>Castañeda citados por Duque Contreras</w:t>
      </w:r>
      <w:r w:rsidR="00A42046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r w:rsidR="0045513F">
        <w:rPr>
          <w:rFonts w:ascii="Arial" w:hAnsi="Arial" w:cs="Arial"/>
          <w:color w:val="000000" w:themeColor="text1"/>
          <w:sz w:val="24"/>
          <w:szCs w:val="24"/>
          <w:vertAlign w:val="superscript"/>
        </w:rPr>
        <w:t>12</w:t>
      </w:r>
      <w:r w:rsidR="00A42046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 w:rsidR="00B9724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F86F2C" w:rsidRPr="005E0871">
        <w:rPr>
          <w:rFonts w:ascii="Arial" w:hAnsi="Arial" w:cs="Arial"/>
          <w:color w:val="000000" w:themeColor="text1"/>
          <w:sz w:val="24"/>
          <w:szCs w:val="24"/>
        </w:rPr>
        <w:t>Pichel</w:t>
      </w:r>
      <w:r w:rsidR="00B97246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r w:rsidR="0045513F">
        <w:rPr>
          <w:rFonts w:ascii="Arial" w:hAnsi="Arial" w:cs="Arial"/>
          <w:color w:val="000000" w:themeColor="text1"/>
          <w:sz w:val="24"/>
          <w:szCs w:val="24"/>
          <w:vertAlign w:val="superscript"/>
        </w:rPr>
        <w:t>6</w:t>
      </w:r>
      <w:r w:rsidR="00B97246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) </w:t>
      </w:r>
      <w:r w:rsidR="00F86F2C" w:rsidRPr="005E08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7246">
        <w:rPr>
          <w:rFonts w:ascii="Arial" w:hAnsi="Arial" w:cs="Arial"/>
          <w:color w:val="000000" w:themeColor="text1"/>
          <w:sz w:val="24"/>
          <w:szCs w:val="24"/>
        </w:rPr>
        <w:t xml:space="preserve">todos con sus colaboradores, así como </w:t>
      </w:r>
      <w:r w:rsidR="00F86F2C">
        <w:rPr>
          <w:rFonts w:ascii="Arial" w:hAnsi="Arial" w:cs="Arial"/>
          <w:color w:val="000000" w:themeColor="text1"/>
          <w:sz w:val="24"/>
          <w:szCs w:val="24"/>
        </w:rPr>
        <w:t>González.</w:t>
      </w:r>
      <w:r w:rsidR="00B97246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r w:rsidR="0045513F">
        <w:rPr>
          <w:rFonts w:ascii="Arial" w:hAnsi="Arial" w:cs="Arial"/>
          <w:color w:val="000000" w:themeColor="text1"/>
          <w:sz w:val="24"/>
          <w:szCs w:val="24"/>
          <w:vertAlign w:val="superscript"/>
        </w:rPr>
        <w:t>4</w:t>
      </w:r>
      <w:r w:rsidR="00B97246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 w:rsidR="005E42B1" w:rsidRPr="005E42B1">
        <w:t xml:space="preserve"> </w:t>
      </w:r>
    </w:p>
    <w:p w14:paraId="1B9983DE" w14:textId="77777777" w:rsidR="00E50A84" w:rsidRPr="00AD74E5" w:rsidRDefault="000A5533" w:rsidP="00FE487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hAnsi="Arial" w:cs="Arial"/>
          <w:color w:val="000000" w:themeColor="text1"/>
          <w:sz w:val="24"/>
          <w:szCs w:val="24"/>
        </w:rPr>
        <w:t>Lo</w:t>
      </w:r>
      <w:r w:rsidR="005E42B1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valores promedios de las</w:t>
      </w:r>
      <w:r w:rsidR="005E42B1">
        <w:rPr>
          <w:rFonts w:ascii="Arial" w:hAnsi="Arial" w:cs="Arial"/>
          <w:color w:val="000000" w:themeColor="text1"/>
          <w:sz w:val="24"/>
          <w:szCs w:val="24"/>
        </w:rPr>
        <w:t xml:space="preserve"> variables cefalométricas seleccionadas estuvieron influenciados a</w:t>
      </w:r>
      <w:r w:rsidR="005E42B1">
        <w:rPr>
          <w:rFonts w:ascii="Arial" w:hAnsi="Arial" w:cs="Arial"/>
          <w:sz w:val="24"/>
          <w:szCs w:val="24"/>
        </w:rPr>
        <w:t xml:space="preserve"> la etapa de crecimiento y desarrollo de los individuos de la muestra: la juventud; caracterizada por un</w:t>
      </w:r>
      <w:r w:rsidR="005E42B1" w:rsidRPr="00A37DD0">
        <w:rPr>
          <w:rFonts w:ascii="Arial" w:eastAsia="Times New Roman" w:hAnsi="Arial" w:cs="Arial"/>
          <w:sz w:val="24"/>
          <w:szCs w:val="24"/>
        </w:rPr>
        <w:t xml:space="preserve"> crecimiento relativo</w:t>
      </w:r>
      <w:r w:rsidR="005E42B1">
        <w:rPr>
          <w:rFonts w:ascii="Arial" w:eastAsia="Times New Roman" w:hAnsi="Arial" w:cs="Arial"/>
          <w:sz w:val="24"/>
          <w:szCs w:val="24"/>
          <w:lang w:val="es-ES_tradnl"/>
        </w:rPr>
        <w:t>,</w:t>
      </w:r>
      <w:r w:rsidR="005E42B1" w:rsidRPr="00A37DD0">
        <w:rPr>
          <w:rFonts w:ascii="Arial" w:eastAsia="Times New Roman" w:hAnsi="Arial" w:cs="Arial"/>
          <w:sz w:val="24"/>
          <w:szCs w:val="24"/>
          <w:lang w:val="es-ES_tradnl"/>
        </w:rPr>
        <w:t xml:space="preserve"> </w:t>
      </w:r>
      <w:r w:rsidR="005E42B1">
        <w:rPr>
          <w:rFonts w:ascii="Arial" w:eastAsia="Times New Roman" w:hAnsi="Arial" w:cs="Arial"/>
          <w:sz w:val="24"/>
          <w:szCs w:val="24"/>
          <w:lang w:val="es-ES_tradnl"/>
        </w:rPr>
        <w:t xml:space="preserve">donde </w:t>
      </w:r>
      <w:r w:rsidR="005E42B1" w:rsidRPr="00A37DD0">
        <w:rPr>
          <w:rFonts w:ascii="Arial" w:eastAsia="Times New Roman" w:hAnsi="Arial" w:cs="Arial"/>
          <w:sz w:val="24"/>
          <w:szCs w:val="24"/>
          <w:lang w:val="es-ES_tradnl"/>
        </w:rPr>
        <w:t>el crecimiento d</w:t>
      </w:r>
      <w:r w:rsidR="005E42B1">
        <w:rPr>
          <w:rFonts w:ascii="Arial" w:hAnsi="Arial" w:cs="Arial"/>
          <w:sz w:val="24"/>
          <w:szCs w:val="24"/>
          <w:lang w:val="es-ES_tradnl"/>
        </w:rPr>
        <w:t xml:space="preserve">e los maxilares es muy reducido y </w:t>
      </w:r>
      <w:r w:rsidR="005E42B1" w:rsidRPr="00A37DD0">
        <w:rPr>
          <w:rFonts w:ascii="Arial" w:eastAsia="Times New Roman" w:hAnsi="Arial" w:cs="Arial"/>
          <w:sz w:val="24"/>
          <w:szCs w:val="24"/>
        </w:rPr>
        <w:t xml:space="preserve">el </w:t>
      </w:r>
      <w:r w:rsidR="005E42B1">
        <w:rPr>
          <w:rFonts w:ascii="Arial" w:eastAsia="Times New Roman" w:hAnsi="Arial" w:cs="Arial"/>
          <w:sz w:val="24"/>
          <w:szCs w:val="24"/>
        </w:rPr>
        <w:t xml:space="preserve">individuo </w:t>
      </w:r>
      <w:r w:rsidR="005E42B1" w:rsidRPr="00A37DD0">
        <w:rPr>
          <w:rFonts w:ascii="Arial" w:eastAsia="Times New Roman" w:hAnsi="Arial" w:cs="Arial"/>
          <w:sz w:val="24"/>
          <w:szCs w:val="24"/>
          <w:lang w:val="es-ES_tradnl"/>
        </w:rPr>
        <w:t>alcanza</w:t>
      </w:r>
      <w:r w:rsidR="005E42B1">
        <w:rPr>
          <w:rFonts w:ascii="Arial" w:eastAsia="Times New Roman" w:hAnsi="Arial" w:cs="Arial"/>
          <w:sz w:val="24"/>
          <w:szCs w:val="24"/>
          <w:lang w:val="es-ES_tradnl"/>
        </w:rPr>
        <w:t>rá</w:t>
      </w:r>
      <w:r w:rsidR="005E42B1" w:rsidRPr="00A37DD0">
        <w:rPr>
          <w:rFonts w:ascii="Arial" w:eastAsia="Times New Roman" w:hAnsi="Arial" w:cs="Arial"/>
          <w:sz w:val="24"/>
          <w:szCs w:val="24"/>
          <w:lang w:val="es-ES_tradnl"/>
        </w:rPr>
        <w:t xml:space="preserve"> la estatura y proporciones defini</w:t>
      </w:r>
      <w:r w:rsidR="005E42B1">
        <w:rPr>
          <w:rFonts w:ascii="Arial" w:hAnsi="Arial" w:cs="Arial"/>
          <w:sz w:val="24"/>
          <w:szCs w:val="24"/>
          <w:lang w:val="es-ES_tradnl"/>
        </w:rPr>
        <w:t>tivas, y e</w:t>
      </w:r>
      <w:r w:rsidR="005E42B1" w:rsidRPr="00A37DD0">
        <w:rPr>
          <w:rFonts w:ascii="Arial" w:eastAsia="Times New Roman" w:hAnsi="Arial" w:cs="Arial"/>
          <w:sz w:val="24"/>
          <w:szCs w:val="24"/>
          <w:lang w:val="es-ES_tradnl"/>
        </w:rPr>
        <w:t xml:space="preserve">l único cambio dentario </w:t>
      </w:r>
      <w:r w:rsidR="005E42B1">
        <w:rPr>
          <w:rFonts w:ascii="Arial" w:eastAsia="Times New Roman" w:hAnsi="Arial" w:cs="Arial"/>
          <w:sz w:val="24"/>
          <w:szCs w:val="24"/>
          <w:lang w:val="es-ES_tradnl"/>
        </w:rPr>
        <w:t>esperado es</w:t>
      </w:r>
      <w:r w:rsidR="005E42B1" w:rsidRPr="00A37DD0">
        <w:rPr>
          <w:rFonts w:ascii="Arial" w:eastAsia="Times New Roman" w:hAnsi="Arial" w:cs="Arial"/>
          <w:sz w:val="24"/>
          <w:szCs w:val="24"/>
          <w:lang w:val="es-ES_tradnl"/>
        </w:rPr>
        <w:t xml:space="preserve"> la erupción de los </w:t>
      </w:r>
      <w:r w:rsidR="005E42B1">
        <w:rPr>
          <w:rFonts w:ascii="Arial" w:hAnsi="Arial" w:cs="Arial"/>
          <w:sz w:val="24"/>
          <w:szCs w:val="24"/>
          <w:lang w:val="es-ES_tradnl"/>
        </w:rPr>
        <w:t xml:space="preserve">terceros molares. </w:t>
      </w:r>
    </w:p>
    <w:p w14:paraId="6B6496FD" w14:textId="77777777" w:rsidR="00AD3ED5" w:rsidRPr="00300C3A" w:rsidRDefault="005E42B1" w:rsidP="00FE48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otro lado, los promedios mayores en la arcada inferior </w:t>
      </w:r>
      <w:r w:rsidR="00AD3ED5" w:rsidRPr="00300C3A">
        <w:rPr>
          <w:rFonts w:ascii="Arial" w:hAnsi="Arial" w:cs="Arial"/>
          <w:sz w:val="24"/>
          <w:szCs w:val="24"/>
        </w:rPr>
        <w:t xml:space="preserve">tercer molar inferior </w:t>
      </w:r>
      <w:r w:rsidR="00385491">
        <w:rPr>
          <w:rFonts w:ascii="Arial" w:hAnsi="Arial" w:cs="Arial"/>
          <w:sz w:val="24"/>
          <w:szCs w:val="24"/>
        </w:rPr>
        <w:t xml:space="preserve">se relacionan a que los terceros molares inferiores </w:t>
      </w:r>
      <w:r w:rsidR="00AD3ED5" w:rsidRPr="00300C3A">
        <w:rPr>
          <w:rFonts w:ascii="Arial" w:hAnsi="Arial" w:cs="Arial"/>
          <w:sz w:val="24"/>
          <w:szCs w:val="24"/>
        </w:rPr>
        <w:t>empieza</w:t>
      </w:r>
      <w:r w:rsidR="00385491">
        <w:rPr>
          <w:rFonts w:ascii="Arial" w:hAnsi="Arial" w:cs="Arial"/>
          <w:sz w:val="24"/>
          <w:szCs w:val="24"/>
        </w:rPr>
        <w:t>n</w:t>
      </w:r>
      <w:r w:rsidR="00AD3ED5" w:rsidRPr="00300C3A">
        <w:rPr>
          <w:rFonts w:ascii="Arial" w:hAnsi="Arial" w:cs="Arial"/>
          <w:sz w:val="24"/>
          <w:szCs w:val="24"/>
        </w:rPr>
        <w:t xml:space="preserve"> a constituirse en la pared </w:t>
      </w:r>
      <w:proofErr w:type="spellStart"/>
      <w:r w:rsidR="00AD3ED5" w:rsidRPr="00300C3A">
        <w:rPr>
          <w:rFonts w:ascii="Arial" w:hAnsi="Arial" w:cs="Arial"/>
          <w:sz w:val="24"/>
          <w:szCs w:val="24"/>
        </w:rPr>
        <w:t>anteromedial</w:t>
      </w:r>
      <w:proofErr w:type="spellEnd"/>
      <w:r w:rsidR="00AD3ED5" w:rsidRPr="00300C3A">
        <w:rPr>
          <w:rFonts w:ascii="Arial" w:hAnsi="Arial" w:cs="Arial"/>
          <w:sz w:val="24"/>
          <w:szCs w:val="24"/>
        </w:rPr>
        <w:t xml:space="preserve"> de la rama mandibular </w:t>
      </w:r>
      <w:r w:rsidR="00AD3ED5">
        <w:rPr>
          <w:rFonts w:ascii="Arial" w:hAnsi="Arial" w:cs="Arial"/>
          <w:sz w:val="24"/>
          <w:szCs w:val="24"/>
        </w:rPr>
        <w:t>teniendo un espacio</w:t>
      </w:r>
      <w:r w:rsidR="00385491" w:rsidRPr="00385491">
        <w:rPr>
          <w:rFonts w:ascii="Arial" w:hAnsi="Arial" w:cs="Arial"/>
          <w:sz w:val="24"/>
          <w:szCs w:val="24"/>
        </w:rPr>
        <w:t xml:space="preserve"> </w:t>
      </w:r>
      <w:r w:rsidR="00385491">
        <w:rPr>
          <w:rFonts w:ascii="Arial" w:hAnsi="Arial" w:cs="Arial"/>
          <w:sz w:val="24"/>
          <w:szCs w:val="24"/>
        </w:rPr>
        <w:t xml:space="preserve">más favorable para su desarrollo; mientras que los superiores </w:t>
      </w:r>
      <w:r w:rsidR="00AD3ED5" w:rsidRPr="00300C3A">
        <w:rPr>
          <w:rFonts w:ascii="Arial" w:hAnsi="Arial" w:cs="Arial"/>
          <w:sz w:val="24"/>
          <w:szCs w:val="24"/>
        </w:rPr>
        <w:t>se forma</w:t>
      </w:r>
      <w:r w:rsidR="00385491">
        <w:rPr>
          <w:rFonts w:ascii="Arial" w:hAnsi="Arial" w:cs="Arial"/>
          <w:sz w:val="24"/>
          <w:szCs w:val="24"/>
        </w:rPr>
        <w:t>n</w:t>
      </w:r>
      <w:r w:rsidR="00AD3ED5" w:rsidRPr="00300C3A">
        <w:rPr>
          <w:rFonts w:ascii="Arial" w:hAnsi="Arial" w:cs="Arial"/>
          <w:sz w:val="24"/>
          <w:szCs w:val="24"/>
        </w:rPr>
        <w:t xml:space="preserve"> a medio camino entre la base de la tuberosidad y la porción apical del cuerpo del maxilar, </w:t>
      </w:r>
      <w:r w:rsidR="00AD74E5">
        <w:rPr>
          <w:rFonts w:ascii="Arial" w:hAnsi="Arial" w:cs="Arial"/>
          <w:sz w:val="24"/>
          <w:szCs w:val="24"/>
        </w:rPr>
        <w:t>donde</w:t>
      </w:r>
      <w:r w:rsidR="00AD3ED5" w:rsidRPr="00300C3A">
        <w:rPr>
          <w:rFonts w:ascii="Arial" w:hAnsi="Arial" w:cs="Arial"/>
          <w:sz w:val="24"/>
          <w:szCs w:val="24"/>
        </w:rPr>
        <w:t xml:space="preserve"> el espacio es más </w:t>
      </w:r>
      <w:proofErr w:type="gramStart"/>
      <w:r w:rsidR="00AD3ED5" w:rsidRPr="00300C3A">
        <w:rPr>
          <w:rFonts w:ascii="Arial" w:hAnsi="Arial" w:cs="Arial"/>
          <w:sz w:val="24"/>
          <w:szCs w:val="24"/>
        </w:rPr>
        <w:t>reducido</w:t>
      </w:r>
      <w:r w:rsidR="00385491">
        <w:rPr>
          <w:rFonts w:ascii="Arial" w:hAnsi="Arial" w:cs="Arial"/>
          <w:sz w:val="24"/>
          <w:szCs w:val="24"/>
        </w:rPr>
        <w:t>.</w:t>
      </w:r>
      <w:r w:rsidR="00A43F29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45513F">
        <w:rPr>
          <w:rFonts w:ascii="Arial" w:hAnsi="Arial" w:cs="Arial"/>
          <w:sz w:val="24"/>
          <w:szCs w:val="24"/>
          <w:vertAlign w:val="superscript"/>
        </w:rPr>
        <w:t>13</w:t>
      </w:r>
      <w:r w:rsidR="00A43F29">
        <w:rPr>
          <w:rFonts w:ascii="Arial" w:hAnsi="Arial" w:cs="Arial"/>
          <w:sz w:val="24"/>
          <w:szCs w:val="24"/>
          <w:vertAlign w:val="superscript"/>
        </w:rPr>
        <w:t>)</w:t>
      </w:r>
    </w:p>
    <w:p w14:paraId="0D0162B9" w14:textId="77777777" w:rsidR="00A468D6" w:rsidRDefault="000A5533" w:rsidP="00A468D6">
      <w:pPr>
        <w:tabs>
          <w:tab w:val="center" w:pos="290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 respecto a</w:t>
      </w:r>
      <w:r w:rsidR="000B249A">
        <w:rPr>
          <w:rFonts w:ascii="Arial" w:hAnsi="Arial" w:cs="Arial"/>
          <w:bCs/>
          <w:color w:val="000000"/>
          <w:sz w:val="24"/>
          <w:szCs w:val="24"/>
        </w:rPr>
        <w:t xml:space="preserve"> la inclinación que ellos experimentan durante su proceso eruptivo, variable definida en la presente investigación como angulación inadecuada; </w:t>
      </w:r>
      <w:r>
        <w:rPr>
          <w:rFonts w:ascii="Arial" w:hAnsi="Arial" w:cs="Arial"/>
          <w:bCs/>
          <w:color w:val="000000"/>
          <w:sz w:val="24"/>
          <w:szCs w:val="24"/>
        </w:rPr>
        <w:t>l</w:t>
      </w:r>
      <w:r w:rsidR="000B249A" w:rsidRPr="00CD2C53">
        <w:rPr>
          <w:rFonts w:ascii="Arial" w:hAnsi="Arial" w:cs="Arial"/>
          <w:bCs/>
          <w:sz w:val="24"/>
          <w:szCs w:val="24"/>
        </w:rPr>
        <w:t>a mayoría de los autores</w:t>
      </w:r>
      <w:r w:rsidR="00A43F29">
        <w:rPr>
          <w:rFonts w:ascii="Arial" w:hAnsi="Arial" w:cs="Arial"/>
          <w:sz w:val="24"/>
          <w:szCs w:val="24"/>
          <w:vertAlign w:val="superscript"/>
        </w:rPr>
        <w:t>(</w:t>
      </w:r>
      <w:r w:rsidR="0045513F">
        <w:rPr>
          <w:rFonts w:ascii="Arial" w:hAnsi="Arial" w:cs="Arial"/>
          <w:sz w:val="24"/>
          <w:szCs w:val="24"/>
          <w:vertAlign w:val="superscript"/>
        </w:rPr>
        <w:t>4,7,13</w:t>
      </w:r>
      <w:r w:rsidR="00A43F29">
        <w:rPr>
          <w:rFonts w:ascii="Arial" w:hAnsi="Arial" w:cs="Arial"/>
          <w:sz w:val="24"/>
          <w:szCs w:val="24"/>
          <w:vertAlign w:val="superscript"/>
        </w:rPr>
        <w:t xml:space="preserve">) </w:t>
      </w:r>
      <w:r w:rsidR="000B249A">
        <w:rPr>
          <w:rFonts w:ascii="Arial" w:hAnsi="Arial" w:cs="Arial"/>
          <w:bCs/>
          <w:sz w:val="24"/>
          <w:szCs w:val="24"/>
        </w:rPr>
        <w:t>concuerdan en afirmar</w:t>
      </w:r>
      <w:r w:rsidR="000B249A" w:rsidRPr="00CD2C53">
        <w:rPr>
          <w:rFonts w:ascii="Arial" w:hAnsi="Arial" w:cs="Arial"/>
          <w:bCs/>
          <w:sz w:val="24"/>
          <w:szCs w:val="24"/>
        </w:rPr>
        <w:t xml:space="preserve"> que </w:t>
      </w:r>
      <w:r w:rsidR="000B249A">
        <w:rPr>
          <w:rFonts w:ascii="Arial" w:hAnsi="Arial" w:cs="Arial"/>
          <w:bCs/>
          <w:sz w:val="24"/>
          <w:szCs w:val="24"/>
        </w:rPr>
        <w:t>aunque</w:t>
      </w:r>
      <w:r w:rsidR="000B249A" w:rsidRPr="00CD2C53">
        <w:rPr>
          <w:rFonts w:ascii="Arial" w:hAnsi="Arial" w:cs="Arial"/>
          <w:bCs/>
          <w:sz w:val="24"/>
          <w:szCs w:val="24"/>
        </w:rPr>
        <w:t xml:space="preserve"> la trayectoria de erupción está determinada genéticamente</w:t>
      </w:r>
      <w:r w:rsidR="000B249A">
        <w:rPr>
          <w:rFonts w:ascii="Arial" w:hAnsi="Arial" w:cs="Arial"/>
          <w:bCs/>
          <w:sz w:val="24"/>
          <w:szCs w:val="24"/>
        </w:rPr>
        <w:t>,</w:t>
      </w:r>
      <w:r w:rsidR="000B249A" w:rsidRPr="00CD2C53">
        <w:rPr>
          <w:rFonts w:ascii="Arial" w:hAnsi="Arial" w:cs="Arial"/>
          <w:bCs/>
          <w:sz w:val="24"/>
          <w:szCs w:val="24"/>
        </w:rPr>
        <w:t xml:space="preserve"> se encuentra influenciada por factores externos, entre los que </w:t>
      </w:r>
      <w:r w:rsidR="000B249A">
        <w:rPr>
          <w:rFonts w:ascii="Arial" w:hAnsi="Arial" w:cs="Arial"/>
          <w:bCs/>
          <w:sz w:val="24"/>
          <w:szCs w:val="24"/>
        </w:rPr>
        <w:t>sobresale</w:t>
      </w:r>
      <w:r w:rsidR="000B249A" w:rsidRPr="00CD2C53">
        <w:rPr>
          <w:rFonts w:ascii="Arial" w:hAnsi="Arial" w:cs="Arial"/>
          <w:bCs/>
          <w:sz w:val="24"/>
          <w:szCs w:val="24"/>
        </w:rPr>
        <w:t xml:space="preserve"> el espacio disponible, </w:t>
      </w:r>
      <w:r w:rsidR="000B249A">
        <w:rPr>
          <w:rFonts w:ascii="Arial" w:hAnsi="Arial" w:cs="Arial"/>
          <w:bCs/>
          <w:sz w:val="24"/>
          <w:szCs w:val="24"/>
        </w:rPr>
        <w:t>lo cual hace</w:t>
      </w:r>
      <w:r w:rsidR="000B249A" w:rsidRPr="00CD2C53">
        <w:rPr>
          <w:rFonts w:ascii="Arial" w:hAnsi="Arial" w:cs="Arial"/>
          <w:bCs/>
          <w:sz w:val="24"/>
          <w:szCs w:val="24"/>
        </w:rPr>
        <w:t xml:space="preserve"> que los molares maxilares experiment</w:t>
      </w:r>
      <w:r w:rsidR="000B249A">
        <w:rPr>
          <w:rFonts w:ascii="Arial" w:hAnsi="Arial" w:cs="Arial"/>
          <w:bCs/>
          <w:sz w:val="24"/>
          <w:szCs w:val="24"/>
        </w:rPr>
        <w:t>e</w:t>
      </w:r>
      <w:r w:rsidR="000B249A" w:rsidRPr="00CD2C53">
        <w:rPr>
          <w:rFonts w:ascii="Arial" w:hAnsi="Arial" w:cs="Arial"/>
          <w:bCs/>
          <w:sz w:val="24"/>
          <w:szCs w:val="24"/>
        </w:rPr>
        <w:t xml:space="preserve">n ángulos más obtusos y los mandibulares más agudos, además de la inclinación hacia </w:t>
      </w:r>
      <w:r w:rsidR="000B249A" w:rsidRPr="00CD2C53">
        <w:rPr>
          <w:rFonts w:ascii="Arial" w:hAnsi="Arial" w:cs="Arial"/>
          <w:bCs/>
          <w:sz w:val="24"/>
          <w:szCs w:val="24"/>
        </w:rPr>
        <w:lastRenderedPageBreak/>
        <w:t>distal en los superiores</w:t>
      </w:r>
      <w:r w:rsidR="000B249A">
        <w:rPr>
          <w:rFonts w:ascii="Arial" w:hAnsi="Arial" w:cs="Arial"/>
          <w:bCs/>
          <w:sz w:val="24"/>
          <w:szCs w:val="24"/>
        </w:rPr>
        <w:t>,</w:t>
      </w:r>
      <w:r w:rsidR="000B249A" w:rsidRPr="00CD2C53">
        <w:rPr>
          <w:rFonts w:ascii="Arial" w:hAnsi="Arial" w:cs="Arial"/>
          <w:bCs/>
          <w:sz w:val="24"/>
          <w:szCs w:val="24"/>
        </w:rPr>
        <w:t xml:space="preserve"> porque es menor la resistencia del hueso a ese nivel, mientras que hacia mesial en los inferiores </w:t>
      </w:r>
      <w:r w:rsidR="000B249A">
        <w:rPr>
          <w:rFonts w:ascii="Arial" w:hAnsi="Arial" w:cs="Arial"/>
          <w:bCs/>
          <w:sz w:val="24"/>
          <w:szCs w:val="24"/>
        </w:rPr>
        <w:t>obedece</w:t>
      </w:r>
      <w:r w:rsidR="000B249A" w:rsidRPr="00CD2C53">
        <w:rPr>
          <w:rFonts w:ascii="Arial" w:hAnsi="Arial" w:cs="Arial"/>
          <w:bCs/>
          <w:sz w:val="24"/>
          <w:szCs w:val="24"/>
        </w:rPr>
        <w:t xml:space="preserve"> a su oblicuidad primitiva desde su formación</w:t>
      </w:r>
      <w:r w:rsidR="000B249A">
        <w:rPr>
          <w:rFonts w:ascii="Arial" w:hAnsi="Arial" w:cs="Arial"/>
          <w:bCs/>
          <w:sz w:val="24"/>
          <w:szCs w:val="24"/>
        </w:rPr>
        <w:t xml:space="preserve">, que los </w:t>
      </w:r>
      <w:r w:rsidR="000B249A" w:rsidRPr="00CD2C53">
        <w:rPr>
          <w:rFonts w:ascii="Arial" w:hAnsi="Arial" w:cs="Arial"/>
          <w:bCs/>
          <w:sz w:val="24"/>
          <w:szCs w:val="24"/>
        </w:rPr>
        <w:t>obliga a ubicarse en la arcada por detrás del segundo molar inferior.</w:t>
      </w:r>
    </w:p>
    <w:p w14:paraId="0934FB99" w14:textId="77777777" w:rsidR="005E42B1" w:rsidRDefault="00A468D6" w:rsidP="0045513F">
      <w:pPr>
        <w:tabs>
          <w:tab w:val="center" w:pos="290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Finalmente, sobre el diámetro mesiodistal, </w:t>
      </w:r>
      <w:r>
        <w:rPr>
          <w:rFonts w:ascii="Arial" w:hAnsi="Arial" w:cs="Arial"/>
        </w:rPr>
        <w:t>se sustentan</w:t>
      </w:r>
      <w:r w:rsidRPr="00CD2C53">
        <w:rPr>
          <w:rFonts w:ascii="Arial" w:hAnsi="Arial" w:cs="Arial"/>
        </w:rPr>
        <w:t xml:space="preserve"> diversos criterios, pues la anatomía de </w:t>
      </w:r>
      <w:r>
        <w:rPr>
          <w:rFonts w:ascii="Arial" w:hAnsi="Arial" w:cs="Arial"/>
        </w:rPr>
        <w:t>estos</w:t>
      </w:r>
      <w:r w:rsidRPr="00CD2C53">
        <w:rPr>
          <w:rFonts w:ascii="Arial" w:hAnsi="Arial" w:cs="Arial"/>
        </w:rPr>
        <w:t xml:space="preserve"> ha sido descrita como impredecible al presentar mayor variación que cualquier otr</w:t>
      </w:r>
      <w:r>
        <w:rPr>
          <w:rFonts w:ascii="Arial" w:hAnsi="Arial" w:cs="Arial"/>
        </w:rPr>
        <w:t>o diente en</w:t>
      </w:r>
      <w:r w:rsidRPr="00CD2C53">
        <w:rPr>
          <w:rFonts w:ascii="Arial" w:hAnsi="Arial" w:cs="Arial"/>
        </w:rPr>
        <w:t xml:space="preserve"> la cavidad bucal</w:t>
      </w:r>
      <w:r>
        <w:rPr>
          <w:rFonts w:ascii="Arial" w:hAnsi="Arial" w:cs="Arial"/>
        </w:rPr>
        <w:t>.</w:t>
      </w:r>
      <w:r w:rsidR="00A43F29">
        <w:rPr>
          <w:rFonts w:ascii="Arial" w:hAnsi="Arial" w:cs="Arial"/>
          <w:vertAlign w:val="superscript"/>
        </w:rPr>
        <w:t>(</w:t>
      </w:r>
      <w:r w:rsidR="0045513F">
        <w:rPr>
          <w:rFonts w:ascii="Arial" w:hAnsi="Arial" w:cs="Arial"/>
          <w:vertAlign w:val="superscript"/>
        </w:rPr>
        <w:t>14,15</w:t>
      </w:r>
      <w:r w:rsidR="00A43F29">
        <w:rPr>
          <w:rFonts w:ascii="Arial" w:hAnsi="Arial" w:cs="Arial"/>
          <w:vertAlign w:val="superscript"/>
        </w:rPr>
        <w:t>)</w:t>
      </w:r>
      <w:r w:rsidR="0045513F">
        <w:rPr>
          <w:rFonts w:ascii="Arial" w:hAnsi="Arial" w:cs="Arial"/>
          <w:vertAlign w:val="superscript"/>
        </w:rPr>
        <w:t xml:space="preserve"> </w:t>
      </w:r>
      <w:r w:rsidR="006E1C12">
        <w:rPr>
          <w:rFonts w:ascii="Arial" w:hAnsi="Arial" w:cs="Arial"/>
          <w:color w:val="000000" w:themeColor="text1"/>
          <w:sz w:val="24"/>
          <w:szCs w:val="24"/>
        </w:rPr>
        <w:t>Autores que utilizaron el mismo método de medición,</w:t>
      </w:r>
      <w:r w:rsidR="006E1C12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r w:rsidR="0045513F">
        <w:rPr>
          <w:rFonts w:ascii="Arial" w:hAnsi="Arial" w:cs="Arial"/>
          <w:color w:val="000000" w:themeColor="text1"/>
          <w:sz w:val="24"/>
          <w:szCs w:val="24"/>
          <w:vertAlign w:val="superscript"/>
        </w:rPr>
        <w:t>4,11</w:t>
      </w:r>
      <w:r w:rsidR="006E1C12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 w:rsidR="006E1C12">
        <w:rPr>
          <w:rFonts w:ascii="Arial" w:hAnsi="Arial" w:cs="Arial"/>
          <w:color w:val="000000" w:themeColor="text1"/>
          <w:sz w:val="24"/>
          <w:szCs w:val="24"/>
        </w:rPr>
        <w:t xml:space="preserve"> refieren coincidencias en cuanto a mayores valores promedios de espacio óseo posterior inferiores, ángulos superiores obtusos e inferiores agudos, así como mayores diámetros mesiodis</w:t>
      </w:r>
      <w:r w:rsidR="0048407D">
        <w:rPr>
          <w:rFonts w:ascii="Arial" w:hAnsi="Arial" w:cs="Arial"/>
          <w:color w:val="000000" w:themeColor="text1"/>
          <w:sz w:val="24"/>
          <w:szCs w:val="24"/>
        </w:rPr>
        <w:t>tales en los molares inferiores; todo ello justificado con los razonamientos descritos en párrafo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48407D">
        <w:rPr>
          <w:rFonts w:ascii="Arial" w:hAnsi="Arial" w:cs="Arial"/>
          <w:color w:val="000000" w:themeColor="text1"/>
          <w:sz w:val="24"/>
          <w:szCs w:val="24"/>
        </w:rPr>
        <w:t xml:space="preserve"> anterior</w:t>
      </w:r>
      <w:r>
        <w:rPr>
          <w:rFonts w:ascii="Arial" w:hAnsi="Arial" w:cs="Arial"/>
          <w:color w:val="000000" w:themeColor="text1"/>
          <w:sz w:val="24"/>
          <w:szCs w:val="24"/>
        </w:rPr>
        <w:t>es</w:t>
      </w:r>
      <w:r w:rsidR="0048407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0A4CC63" w14:textId="77777777" w:rsidR="00662847" w:rsidRDefault="00FE487C" w:rsidP="00FE487C">
      <w:pPr>
        <w:spacing w:before="240" w:after="0" w:line="360" w:lineRule="auto"/>
        <w:ind w:right="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CONCLUSIONES</w:t>
      </w:r>
    </w:p>
    <w:p w14:paraId="5D41C775" w14:textId="77777777" w:rsidR="00A468D6" w:rsidRDefault="00566AC7" w:rsidP="00E837F6">
      <w:pPr>
        <w:spacing w:after="0" w:line="360" w:lineRule="auto"/>
        <w:ind w:right="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brote anormal de los terceros molares se caracteriza por afectar a féminas y a individuos con color de la piel mestizos; así como observarse fundamentalmente en molares inferiores con espacios óseos posteriores reducidos, mesioangulaciones y diámetros mesiodistales considerables.</w:t>
      </w:r>
    </w:p>
    <w:p w14:paraId="3F8DB702" w14:textId="77777777" w:rsidR="00662847" w:rsidRPr="00662847" w:rsidRDefault="00FE487C" w:rsidP="00FE487C">
      <w:pPr>
        <w:spacing w:before="240" w:after="0" w:line="360" w:lineRule="auto"/>
        <w:ind w:right="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REFERENCIAS BIBLIOGRÁFICAS</w:t>
      </w:r>
    </w:p>
    <w:p w14:paraId="3AB2A9F5" w14:textId="77777777" w:rsidR="005F3EC9" w:rsidRPr="00BC5D82" w:rsidRDefault="005F3EC9" w:rsidP="005F3EC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C5D82">
        <w:rPr>
          <w:rFonts w:ascii="Arial" w:hAnsi="Arial" w:cs="Arial"/>
          <w:sz w:val="24"/>
          <w:szCs w:val="24"/>
        </w:rPr>
        <w:t xml:space="preserve">González L, Medina PA, Romero LI, Soto LA, De la Tejeda A. Caracterización epidemiológica y clínica del brote de los terceros molares en Santiago de Cuba. Actas del Congreso Internacional Estomatología 2020; Nov 2020; La Habana, Cuba. La Habana: Universidad de Ciencias Médicas de La Habana; 2020 [citado 22 Ene 2021]. Disponible en: </w:t>
      </w:r>
      <w:hyperlink r:id="rId10" w:history="1">
        <w:r w:rsidRPr="00BC5D82">
          <w:rPr>
            <w:rStyle w:val="Hipervnculo"/>
            <w:rFonts w:ascii="Arial" w:hAnsi="Arial" w:cs="Arial"/>
            <w:sz w:val="24"/>
            <w:szCs w:val="24"/>
          </w:rPr>
          <w:t>http://www.estomatologia2020.sld.cu/index.php/estomatologia/2020/paper/view/8/201</w:t>
        </w:r>
      </w:hyperlink>
    </w:p>
    <w:p w14:paraId="732EFADC" w14:textId="77777777" w:rsidR="00B4685A" w:rsidRPr="00BC5D82" w:rsidRDefault="00B4685A" w:rsidP="00BC5D8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5D82">
        <w:rPr>
          <w:rFonts w:ascii="Arial" w:hAnsi="Arial" w:cs="Arial"/>
          <w:color w:val="000000" w:themeColor="text1"/>
          <w:sz w:val="24"/>
          <w:szCs w:val="24"/>
        </w:rPr>
        <w:t xml:space="preserve">Embriología bucal, 2012 [citado 30 Mar 2019]. Disponible en: </w:t>
      </w:r>
      <w:hyperlink r:id="rId11" w:history="1">
        <w:r w:rsidRPr="00BC5D82">
          <w:rPr>
            <w:rStyle w:val="Hipervnculo"/>
            <w:rFonts w:ascii="Arial" w:hAnsi="Arial" w:cs="Arial"/>
            <w:sz w:val="24"/>
            <w:szCs w:val="24"/>
          </w:rPr>
          <w:t>http://e-bucodentalfaby.blogspot.com/</w:t>
        </w:r>
      </w:hyperlink>
    </w:p>
    <w:p w14:paraId="6C5AC879" w14:textId="77777777" w:rsidR="00D01A84" w:rsidRPr="001736DE" w:rsidRDefault="00B4685A" w:rsidP="00BC5D8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BC5D82">
        <w:rPr>
          <w:rFonts w:ascii="Arial" w:hAnsi="Arial" w:cs="Arial"/>
          <w:color w:val="000000" w:themeColor="text1"/>
          <w:sz w:val="24"/>
          <w:szCs w:val="24"/>
        </w:rPr>
        <w:t>Arteagoitia</w:t>
      </w:r>
      <w:proofErr w:type="spellEnd"/>
      <w:r w:rsidRPr="00BC5D82">
        <w:rPr>
          <w:rFonts w:ascii="Arial" w:hAnsi="Arial" w:cs="Arial"/>
          <w:color w:val="000000" w:themeColor="text1"/>
          <w:sz w:val="24"/>
          <w:szCs w:val="24"/>
        </w:rPr>
        <w:t xml:space="preserve"> I, </w:t>
      </w:r>
      <w:proofErr w:type="spellStart"/>
      <w:r w:rsidRPr="00BC5D82">
        <w:rPr>
          <w:rFonts w:ascii="Arial" w:hAnsi="Arial" w:cs="Arial"/>
          <w:color w:val="000000" w:themeColor="text1"/>
          <w:sz w:val="24"/>
          <w:szCs w:val="24"/>
        </w:rPr>
        <w:t>Alvarez</w:t>
      </w:r>
      <w:proofErr w:type="spellEnd"/>
      <w:r w:rsidRPr="00BC5D82">
        <w:rPr>
          <w:rFonts w:ascii="Arial" w:hAnsi="Arial" w:cs="Arial"/>
          <w:color w:val="000000" w:themeColor="text1"/>
          <w:sz w:val="24"/>
          <w:szCs w:val="24"/>
        </w:rPr>
        <w:t xml:space="preserve"> J, Barbier L, Santamaría J. Erupción del tercer molar.  Patología asociada. 2015 [citado 12 Abr 2019]. Disponible en: </w:t>
      </w:r>
      <w:hyperlink r:id="rId12" w:history="1">
        <w:r w:rsidR="001736DE" w:rsidRPr="00BF7D5C">
          <w:rPr>
            <w:rStyle w:val="Hipervnculo"/>
            <w:rFonts w:ascii="Arial" w:hAnsi="Arial" w:cs="Arial"/>
            <w:sz w:val="24"/>
            <w:szCs w:val="24"/>
          </w:rPr>
          <w:t>https://ocw.ehu.eus/pluginfile.php/1561/mod_resource/content/1/Material_de_estudio/Tema1._Erupcion_y_patologia_asociada/Tema_1.-Erupcion_deltercer_molar._Patologia_asociada.pdf</w:t>
        </w:r>
      </w:hyperlink>
    </w:p>
    <w:p w14:paraId="71C9C237" w14:textId="77777777" w:rsidR="00D01A84" w:rsidRPr="00BC5D82" w:rsidRDefault="00C550A5" w:rsidP="00BC5D82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 w:themeColor="text1"/>
        </w:rPr>
      </w:pPr>
      <w:r w:rsidRPr="00BC5D82">
        <w:rPr>
          <w:rFonts w:ascii="Arial" w:hAnsi="Arial" w:cs="Arial"/>
        </w:rPr>
        <w:t xml:space="preserve">González Espangler L. Modelo cefalométrico predictivo para el brote de los terceros molares. [Tesis]. Santiago de Cuba: Universidad de Ciencias Médicas, Facultad de </w:t>
      </w:r>
      <w:r w:rsidRPr="00BC5D82">
        <w:rPr>
          <w:rFonts w:ascii="Arial" w:hAnsi="Arial" w:cs="Arial"/>
        </w:rPr>
        <w:lastRenderedPageBreak/>
        <w:t xml:space="preserve">Estomatología; 2019 [citado   18 Feb 2020]. Disponible en: </w:t>
      </w:r>
      <w:hyperlink r:id="rId13" w:history="1">
        <w:r w:rsidRPr="00BC5D82">
          <w:rPr>
            <w:rStyle w:val="Hipervnculo"/>
            <w:rFonts w:ascii="Arial" w:hAnsi="Arial" w:cs="Arial"/>
          </w:rPr>
          <w:t>file:///C:/Users/liuba/AppData/Local/Temp/Dra.%20Liuba%20González%20Espangler.pdf</w:t>
        </w:r>
      </w:hyperlink>
    </w:p>
    <w:p w14:paraId="642CA659" w14:textId="77777777" w:rsidR="00C550A5" w:rsidRPr="00BC5D82" w:rsidRDefault="00C550A5" w:rsidP="00BC5D82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 w:themeColor="text1"/>
        </w:rPr>
      </w:pPr>
      <w:r w:rsidRPr="00BC5D82">
        <w:rPr>
          <w:rFonts w:ascii="Arial" w:hAnsi="Arial" w:cs="Arial"/>
          <w:bCs/>
        </w:rPr>
        <w:t>González Espangler L, Ramírez Quevedo Y, Durán Vázquez WE, George Valles Y. Identificación de los terceros molares en pacientes con tratamiento ortodóncico. MEDISAN [Internet]. 2017 nov. [citado 19 oct 2018]; 21(11). Disponible en:</w:t>
      </w:r>
      <w:hyperlink r:id="rId14" w:history="1">
        <w:r w:rsidRPr="00BC5D82">
          <w:rPr>
            <w:rStyle w:val="Hipervnculo"/>
            <w:rFonts w:ascii="Arial" w:hAnsi="Arial" w:cs="Arial"/>
            <w:bCs/>
          </w:rPr>
          <w:t>http://scielo.sld.cu/scielo.php?script=sci_arttext&amp;pid=S1029-30192017001100010</w:t>
        </w:r>
      </w:hyperlink>
    </w:p>
    <w:p w14:paraId="1FF6939A" w14:textId="77777777" w:rsidR="009A5011" w:rsidRPr="00BC5D82" w:rsidRDefault="00C550A5" w:rsidP="001736D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5D82">
        <w:rPr>
          <w:rFonts w:ascii="Arial" w:hAnsi="Arial" w:cs="Arial"/>
          <w:color w:val="000000" w:themeColor="text1"/>
          <w:sz w:val="24"/>
          <w:szCs w:val="24"/>
        </w:rPr>
        <w:t xml:space="preserve">Pichel Borges I, Suárez García MC, González </w:t>
      </w:r>
      <w:proofErr w:type="spellStart"/>
      <w:r w:rsidRPr="00BC5D82">
        <w:rPr>
          <w:rFonts w:ascii="Arial" w:hAnsi="Arial" w:cs="Arial"/>
          <w:color w:val="000000" w:themeColor="text1"/>
          <w:sz w:val="24"/>
          <w:szCs w:val="24"/>
        </w:rPr>
        <w:t>Espangler</w:t>
      </w:r>
      <w:proofErr w:type="spellEnd"/>
      <w:r w:rsidRPr="00BC5D82">
        <w:rPr>
          <w:rFonts w:ascii="Arial" w:hAnsi="Arial" w:cs="Arial"/>
          <w:color w:val="000000" w:themeColor="text1"/>
          <w:sz w:val="24"/>
          <w:szCs w:val="24"/>
        </w:rPr>
        <w:t xml:space="preserve"> L, Borges </w:t>
      </w:r>
      <w:proofErr w:type="spellStart"/>
      <w:r w:rsidRPr="00BC5D82">
        <w:rPr>
          <w:rFonts w:ascii="Arial" w:hAnsi="Arial" w:cs="Arial"/>
          <w:color w:val="000000" w:themeColor="text1"/>
          <w:sz w:val="24"/>
          <w:szCs w:val="24"/>
        </w:rPr>
        <w:t>Toirac</w:t>
      </w:r>
      <w:proofErr w:type="spellEnd"/>
      <w:r w:rsidRPr="00BC5D82">
        <w:rPr>
          <w:rFonts w:ascii="Arial" w:hAnsi="Arial" w:cs="Arial"/>
          <w:color w:val="000000" w:themeColor="text1"/>
          <w:sz w:val="24"/>
          <w:szCs w:val="24"/>
        </w:rPr>
        <w:t xml:space="preserve"> MA, Romero García L, Berenguer </w:t>
      </w:r>
      <w:proofErr w:type="spellStart"/>
      <w:r w:rsidRPr="00BC5D82">
        <w:rPr>
          <w:rFonts w:ascii="Arial" w:hAnsi="Arial" w:cs="Arial"/>
          <w:color w:val="000000" w:themeColor="text1"/>
          <w:sz w:val="24"/>
          <w:szCs w:val="24"/>
        </w:rPr>
        <w:t>Gouarnaluses</w:t>
      </w:r>
      <w:proofErr w:type="spellEnd"/>
      <w:r w:rsidRPr="00BC5D82">
        <w:rPr>
          <w:rFonts w:ascii="Arial" w:hAnsi="Arial" w:cs="Arial"/>
          <w:color w:val="000000" w:themeColor="text1"/>
          <w:sz w:val="24"/>
          <w:szCs w:val="24"/>
        </w:rPr>
        <w:t xml:space="preserve"> JA. Retención dentaria en pacientes ortodóncicos de 8 a 18 años de edad.16 de Abril. 2018 [citado 30 Mar 2019]; 57(268):89-96. Disponible en: </w:t>
      </w:r>
      <w:hyperlink r:id="rId15" w:history="1">
        <w:r w:rsidRPr="00BC5D82">
          <w:rPr>
            <w:rStyle w:val="Hipervnculo"/>
            <w:rFonts w:ascii="Arial" w:hAnsi="Arial" w:cs="Arial"/>
            <w:sz w:val="24"/>
            <w:szCs w:val="24"/>
          </w:rPr>
          <w:t>https://www.medigraphic.com/pdfs/abril/abr-2018/abr18268e.pdf</w:t>
        </w:r>
      </w:hyperlink>
    </w:p>
    <w:p w14:paraId="51894AAB" w14:textId="77777777" w:rsidR="009A5011" w:rsidRPr="00BC5D82" w:rsidRDefault="009A5011" w:rsidP="00BC5D8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5D82">
        <w:rPr>
          <w:rFonts w:ascii="Arial" w:hAnsi="Arial" w:cs="Arial"/>
          <w:sz w:val="24"/>
          <w:szCs w:val="24"/>
        </w:rPr>
        <w:t xml:space="preserve">González L, </w:t>
      </w:r>
      <w:proofErr w:type="spellStart"/>
      <w:r w:rsidRPr="00BC5D82">
        <w:rPr>
          <w:rFonts w:ascii="Arial" w:hAnsi="Arial" w:cs="Arial"/>
          <w:sz w:val="24"/>
          <w:szCs w:val="24"/>
        </w:rPr>
        <w:t>Duany</w:t>
      </w:r>
      <w:proofErr w:type="spellEnd"/>
      <w:r w:rsidRPr="00BC5D82">
        <w:rPr>
          <w:rFonts w:ascii="Arial" w:hAnsi="Arial" w:cs="Arial"/>
          <w:sz w:val="24"/>
          <w:szCs w:val="24"/>
        </w:rPr>
        <w:t xml:space="preserve"> B, Romero LI, Soto LA, Suárez J. Variación evolutiva del espacio óseo posterior para el brote de los terceros molares. Actas del Congreso Internacional Estomatología 2020; Nov 2020; La Habana, Cuba. La Habana: Universidad de Ciencias Médicas de La Habana; 2020 [citado 22 Ene 2021]. Disponible en: </w:t>
      </w:r>
      <w:hyperlink r:id="rId16" w:history="1">
        <w:r w:rsidRPr="00BC5D82">
          <w:rPr>
            <w:rStyle w:val="Hipervnculo"/>
            <w:rFonts w:ascii="Arial" w:hAnsi="Arial" w:cs="Arial"/>
            <w:sz w:val="24"/>
            <w:szCs w:val="24"/>
          </w:rPr>
          <w:t>http://www.estomatologia2020.sld.cu/index.php/estomatologia/2020/paper/view/9/114</w:t>
        </w:r>
      </w:hyperlink>
    </w:p>
    <w:p w14:paraId="1B026627" w14:textId="77777777" w:rsidR="005F3EC9" w:rsidRPr="005F3EC9" w:rsidRDefault="001736DE" w:rsidP="005F3EC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36DE">
        <w:rPr>
          <w:rFonts w:ascii="Arial" w:hAnsi="Arial" w:cs="Arial"/>
          <w:sz w:val="24"/>
        </w:rPr>
        <w:t xml:space="preserve">González Espangler L. Características </w:t>
      </w:r>
      <w:proofErr w:type="spellStart"/>
      <w:r w:rsidRPr="001736DE">
        <w:rPr>
          <w:rFonts w:ascii="Arial" w:hAnsi="Arial" w:cs="Arial"/>
          <w:sz w:val="24"/>
        </w:rPr>
        <w:t>anatomorradiográficas</w:t>
      </w:r>
      <w:proofErr w:type="spellEnd"/>
      <w:r w:rsidRPr="001736DE">
        <w:rPr>
          <w:rFonts w:ascii="Arial" w:hAnsi="Arial" w:cs="Arial"/>
          <w:sz w:val="24"/>
        </w:rPr>
        <w:t xml:space="preserve"> de los terceros molares en adolescentes de la enseñanza preuniversitaria. </w:t>
      </w:r>
      <w:proofErr w:type="spellStart"/>
      <w:r w:rsidRPr="001736DE">
        <w:rPr>
          <w:rFonts w:ascii="Arial" w:hAnsi="Arial" w:cs="Arial"/>
          <w:sz w:val="24"/>
        </w:rPr>
        <w:t>Rev</w:t>
      </w:r>
      <w:proofErr w:type="spellEnd"/>
      <w:r w:rsidRPr="001736DE">
        <w:rPr>
          <w:rFonts w:ascii="Arial" w:hAnsi="Arial" w:cs="Arial"/>
          <w:sz w:val="24"/>
        </w:rPr>
        <w:t xml:space="preserve"> Cubana </w:t>
      </w:r>
      <w:proofErr w:type="spellStart"/>
      <w:r w:rsidRPr="001736DE">
        <w:rPr>
          <w:rFonts w:ascii="Arial" w:hAnsi="Arial" w:cs="Arial"/>
          <w:sz w:val="24"/>
        </w:rPr>
        <w:t>Estomatol</w:t>
      </w:r>
      <w:proofErr w:type="spellEnd"/>
      <w:r w:rsidRPr="001736DE">
        <w:rPr>
          <w:rFonts w:ascii="Arial" w:hAnsi="Arial" w:cs="Arial"/>
          <w:sz w:val="24"/>
        </w:rPr>
        <w:t xml:space="preserve">  [Internet]. 2019  Jun [citado  2021  Jul  01]; 56(2): e1722. Disponible en: </w:t>
      </w:r>
      <w:hyperlink r:id="rId17" w:history="1">
        <w:r w:rsidRPr="001736DE">
          <w:rPr>
            <w:rStyle w:val="Hipervnculo"/>
            <w:rFonts w:ascii="Arial" w:hAnsi="Arial" w:cs="Arial"/>
            <w:sz w:val="24"/>
          </w:rPr>
          <w:t>http://scielo.sld.cu/scielo.php?script=sci_arttext&amp;pid=S0034-75072019000200005&amp;lng=es</w:t>
        </w:r>
      </w:hyperlink>
      <w:r w:rsidRPr="001736DE">
        <w:rPr>
          <w:rFonts w:ascii="Arial" w:hAnsi="Arial" w:cs="Arial"/>
          <w:sz w:val="24"/>
        </w:rPr>
        <w:t>.</w:t>
      </w:r>
    </w:p>
    <w:p w14:paraId="4615AC73" w14:textId="77777777" w:rsidR="005F3EC9" w:rsidRDefault="005F3EC9" w:rsidP="005F3EC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5F3EC9">
        <w:rPr>
          <w:rFonts w:ascii="Arial" w:hAnsi="Arial" w:cs="Arial"/>
          <w:bCs/>
          <w:color w:val="000000" w:themeColor="text1"/>
          <w:sz w:val="24"/>
        </w:rPr>
        <w:t>García Milián A. Prevalencia y caracterización, según escala de Pedersen de los terceros molares inferiores retenidos en pacientes adultos que asistieron a las clínicas dentales de la facultad de odontología.</w:t>
      </w:r>
      <w:r w:rsidRPr="005F3EC9">
        <w:rPr>
          <w:rFonts w:ascii="Arial" w:hAnsi="Arial" w:cs="Arial"/>
          <w:color w:val="000000" w:themeColor="text1"/>
          <w:sz w:val="24"/>
        </w:rPr>
        <w:t xml:space="preserve"> [tesis]. Guatemala: Universidad de San Carlos; 2016 [citado 30 Mar 2019]. Disponible en: </w:t>
      </w:r>
      <w:hyperlink r:id="rId18" w:history="1">
        <w:r w:rsidRPr="005F3EC9">
          <w:rPr>
            <w:rStyle w:val="Hipervnculo"/>
            <w:rFonts w:ascii="Arial" w:hAnsi="Arial" w:cs="Arial"/>
            <w:sz w:val="24"/>
          </w:rPr>
          <w:t>http://www.repositorio.usac.edu.gt/6166/1/T_2676.pdf</w:t>
        </w:r>
      </w:hyperlink>
    </w:p>
    <w:p w14:paraId="4885A027" w14:textId="77777777" w:rsidR="0045513F" w:rsidRPr="00BC5D82" w:rsidRDefault="0045513F" w:rsidP="0045513F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C5D82">
        <w:rPr>
          <w:rFonts w:ascii="Arial" w:hAnsi="Arial" w:cs="Arial"/>
          <w:sz w:val="24"/>
          <w:szCs w:val="24"/>
        </w:rPr>
        <w:t xml:space="preserve">Blog de Ilerna Online. Nomenclatura dentaria: El código internacional FDI. 2018. </w:t>
      </w:r>
      <w:r w:rsidRPr="00BC5D82">
        <w:rPr>
          <w:rFonts w:ascii="Arial" w:hAnsi="Arial" w:cs="Arial"/>
          <w:color w:val="000000" w:themeColor="text1"/>
          <w:sz w:val="24"/>
          <w:szCs w:val="24"/>
        </w:rPr>
        <w:t xml:space="preserve">[citado 30 Mar 2019]. Disponible en: </w:t>
      </w:r>
      <w:hyperlink r:id="rId19" w:history="1">
        <w:r w:rsidRPr="00BC5D82">
          <w:rPr>
            <w:rStyle w:val="Hipervnculo"/>
            <w:rFonts w:ascii="Arial" w:hAnsi="Arial" w:cs="Arial"/>
            <w:sz w:val="24"/>
            <w:szCs w:val="24"/>
          </w:rPr>
          <w:t>https://www.ilerna.es/blog/aprende-con-ilerna-online/sanidad/codigo-internacional-dientes-fdi</w:t>
        </w:r>
      </w:hyperlink>
    </w:p>
    <w:p w14:paraId="495DD2FB" w14:textId="77777777" w:rsidR="0045513F" w:rsidRDefault="00D01A84" w:rsidP="0045513F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5F3EC9">
        <w:rPr>
          <w:rFonts w:ascii="Arial" w:hAnsi="Arial" w:cs="Arial"/>
          <w:sz w:val="24"/>
          <w:szCs w:val="24"/>
        </w:rPr>
        <w:t xml:space="preserve">González Espangler L, Rodríguez Torres E, Soto Cantero LA, Romero García LI, Pichel Borges I. Modificaciones del espacio óseo posterior para terceros molares en </w:t>
      </w:r>
      <w:r w:rsidRPr="005F3EC9">
        <w:rPr>
          <w:rFonts w:ascii="Arial" w:hAnsi="Arial" w:cs="Arial"/>
          <w:sz w:val="24"/>
          <w:szCs w:val="24"/>
        </w:rPr>
        <w:lastRenderedPageBreak/>
        <w:t xml:space="preserve">niños y adolescentes. MEDISAN [Internet]. </w:t>
      </w:r>
      <w:proofErr w:type="gramStart"/>
      <w:r w:rsidRPr="005F3EC9">
        <w:rPr>
          <w:rFonts w:ascii="Arial" w:hAnsi="Arial" w:cs="Arial"/>
          <w:sz w:val="24"/>
          <w:szCs w:val="24"/>
        </w:rPr>
        <w:t>2019  Oct</w:t>
      </w:r>
      <w:proofErr w:type="gramEnd"/>
      <w:r w:rsidRPr="005F3EC9">
        <w:rPr>
          <w:rFonts w:ascii="Arial" w:hAnsi="Arial" w:cs="Arial"/>
          <w:sz w:val="24"/>
          <w:szCs w:val="24"/>
        </w:rPr>
        <w:t xml:space="preserve"> [citado  2021  Mar  05];23(5):860-874. Disponible en: </w:t>
      </w:r>
      <w:hyperlink r:id="rId20" w:history="1">
        <w:r w:rsidRPr="005F3EC9">
          <w:rPr>
            <w:rStyle w:val="Hipervnculo"/>
            <w:rFonts w:ascii="Arial" w:hAnsi="Arial" w:cs="Arial"/>
            <w:sz w:val="24"/>
            <w:szCs w:val="24"/>
          </w:rPr>
          <w:t>http://scielo.sld.cu/scielo.php?script=sci_arttext&amp;pid=S1029-30192019000500860&amp;lng=es</w:t>
        </w:r>
      </w:hyperlink>
      <w:r w:rsidRPr="005F3EC9">
        <w:rPr>
          <w:rFonts w:ascii="Arial" w:hAnsi="Arial" w:cs="Arial"/>
          <w:sz w:val="24"/>
          <w:szCs w:val="24"/>
        </w:rPr>
        <w:t>.</w:t>
      </w:r>
    </w:p>
    <w:p w14:paraId="2F73C6B8" w14:textId="77777777" w:rsidR="0045513F" w:rsidRDefault="00B97246" w:rsidP="0045513F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45513F">
        <w:rPr>
          <w:rFonts w:ascii="Arial" w:hAnsi="Arial" w:cs="Arial"/>
          <w:sz w:val="24"/>
          <w:szCs w:val="24"/>
        </w:rPr>
        <w:t xml:space="preserve">Duque Contreras M. Frecuencia en la impactación, retención e inclusión de los terceros molares en una clínica estomatológica entre 17 y 40 años de edad [tesis] Lima: Universidad de Inca Garcilaso de la Vega; 2018 [citado 30 Abr 2019]. Disponible en: </w:t>
      </w:r>
      <w:hyperlink r:id="rId21" w:history="1">
        <w:r w:rsidRPr="0045513F">
          <w:rPr>
            <w:rStyle w:val="Hipervnculo"/>
            <w:rFonts w:ascii="Arial" w:hAnsi="Arial" w:cs="Arial"/>
            <w:sz w:val="24"/>
            <w:szCs w:val="24"/>
          </w:rPr>
          <w:t>http://repositorio.uigv.edu.pe/bitstream/handle/20.500.11818/2436/TESIS_Karla%20Beatriz%2C%20DUQUE%20CONTRERAS.pdf?sequence=2&amp;isAllowed=y</w:t>
        </w:r>
      </w:hyperlink>
    </w:p>
    <w:p w14:paraId="079B4B07" w14:textId="77777777" w:rsidR="0045513F" w:rsidRDefault="00A43F29" w:rsidP="0045513F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45513F">
        <w:rPr>
          <w:rFonts w:ascii="Arial" w:hAnsi="Arial" w:cs="Arial"/>
          <w:sz w:val="24"/>
          <w:szCs w:val="24"/>
        </w:rPr>
        <w:t xml:space="preserve">Rivero Pérez O. Dientes retenidos. En: Cirugía bucal. Selección de temas. La Habana: Editorial Ciencias Médicas; 2018.p.233-42. [citado 20 Ene 2019]. Disponible en: </w:t>
      </w:r>
      <w:hyperlink r:id="rId22" w:history="1">
        <w:r w:rsidRPr="0045513F">
          <w:rPr>
            <w:rStyle w:val="Hipervnculo"/>
            <w:rFonts w:ascii="Arial" w:hAnsi="Arial" w:cs="Arial"/>
            <w:kern w:val="36"/>
            <w:sz w:val="24"/>
            <w:szCs w:val="24"/>
          </w:rPr>
          <w:t>http://www.bvs.sld.cu/libros_texto/cirugia_bucal_selec_temas/cirugia_bucal_completo.pdf</w:t>
        </w:r>
      </w:hyperlink>
    </w:p>
    <w:p w14:paraId="6B99F846" w14:textId="77777777" w:rsidR="0045513F" w:rsidRPr="0045513F" w:rsidRDefault="00A43F29" w:rsidP="0045513F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8"/>
          <w:szCs w:val="24"/>
        </w:rPr>
      </w:pPr>
      <w:proofErr w:type="spellStart"/>
      <w:r w:rsidRPr="0045513F">
        <w:rPr>
          <w:rFonts w:ascii="Arial" w:hAnsi="Arial" w:cs="Arial"/>
          <w:sz w:val="24"/>
          <w:szCs w:val="24"/>
        </w:rPr>
        <w:t>Companioni</w:t>
      </w:r>
      <w:proofErr w:type="spellEnd"/>
      <w:r w:rsidRPr="0045513F">
        <w:rPr>
          <w:rFonts w:ascii="Arial" w:hAnsi="Arial" w:cs="Arial"/>
          <w:sz w:val="24"/>
          <w:szCs w:val="24"/>
        </w:rPr>
        <w:t xml:space="preserve"> Landín F, </w:t>
      </w:r>
      <w:proofErr w:type="spellStart"/>
      <w:r w:rsidRPr="0045513F">
        <w:rPr>
          <w:rFonts w:ascii="Arial" w:hAnsi="Arial" w:cs="Arial"/>
          <w:sz w:val="24"/>
          <w:szCs w:val="24"/>
        </w:rPr>
        <w:t>Bachá</w:t>
      </w:r>
      <w:proofErr w:type="spellEnd"/>
      <w:r w:rsidRPr="0045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13F">
        <w:rPr>
          <w:rFonts w:ascii="Arial" w:hAnsi="Arial" w:cs="Arial"/>
          <w:sz w:val="24"/>
          <w:szCs w:val="24"/>
        </w:rPr>
        <w:t>Rigal</w:t>
      </w:r>
      <w:proofErr w:type="spellEnd"/>
      <w:r w:rsidRPr="0045513F">
        <w:rPr>
          <w:rFonts w:ascii="Arial" w:hAnsi="Arial" w:cs="Arial"/>
          <w:sz w:val="24"/>
          <w:szCs w:val="24"/>
        </w:rPr>
        <w:t xml:space="preserve"> Y. Oclusión dentaria. En: Anatomía aplicada a la estomatología. La Habana: Editorial Ciencias Médicas; 2012.p.339-41 [citado 12 </w:t>
      </w:r>
      <w:proofErr w:type="spellStart"/>
      <w:r w:rsidRPr="0045513F">
        <w:rPr>
          <w:rFonts w:ascii="Arial" w:hAnsi="Arial" w:cs="Arial"/>
          <w:sz w:val="24"/>
          <w:szCs w:val="24"/>
        </w:rPr>
        <w:t>Sep</w:t>
      </w:r>
      <w:proofErr w:type="spellEnd"/>
      <w:r w:rsidRPr="0045513F">
        <w:rPr>
          <w:rFonts w:ascii="Arial" w:hAnsi="Arial" w:cs="Arial"/>
          <w:sz w:val="24"/>
          <w:szCs w:val="24"/>
        </w:rPr>
        <w:t xml:space="preserve"> 2017]. Disponible en: </w:t>
      </w:r>
      <w:hyperlink r:id="rId23" w:history="1">
        <w:r w:rsidRPr="0045513F">
          <w:rPr>
            <w:rStyle w:val="Hipervnculo"/>
            <w:rFonts w:ascii="Arial" w:hAnsi="Arial" w:cs="Arial"/>
            <w:sz w:val="24"/>
            <w:szCs w:val="24"/>
          </w:rPr>
          <w:t>http://www.bvs.sld.cu/libros/anatomia_estomatologia/anatomia_estomatologia_completo.pdf</w:t>
        </w:r>
      </w:hyperlink>
    </w:p>
    <w:p w14:paraId="0CD68022" w14:textId="77777777" w:rsidR="00F225F5" w:rsidRPr="0045513F" w:rsidRDefault="00A43F29" w:rsidP="00F225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45513F">
        <w:rPr>
          <w:rFonts w:ascii="Arial" w:hAnsi="Arial" w:cs="Arial"/>
        </w:rPr>
        <w:t xml:space="preserve">Fuentes F, </w:t>
      </w:r>
      <w:proofErr w:type="spellStart"/>
      <w:r w:rsidRPr="0045513F">
        <w:rPr>
          <w:rFonts w:ascii="Arial" w:hAnsi="Arial" w:cs="Arial"/>
        </w:rPr>
        <w:t>Borie</w:t>
      </w:r>
      <w:proofErr w:type="spellEnd"/>
      <w:r w:rsidRPr="0045513F">
        <w:rPr>
          <w:rFonts w:ascii="Arial" w:hAnsi="Arial" w:cs="Arial"/>
        </w:rPr>
        <w:t xml:space="preserve"> E, Bustos M, Thomas D. Morfometría de terceros molares: un estudio de 55 casos. </w:t>
      </w:r>
      <w:proofErr w:type="spellStart"/>
      <w:r w:rsidRPr="0045513F">
        <w:rPr>
          <w:rFonts w:ascii="Arial" w:hAnsi="Arial" w:cs="Arial"/>
        </w:rPr>
        <w:t>Internat</w:t>
      </w:r>
      <w:proofErr w:type="spellEnd"/>
      <w:r w:rsidRPr="0045513F">
        <w:rPr>
          <w:rFonts w:ascii="Arial" w:hAnsi="Arial" w:cs="Arial"/>
        </w:rPr>
        <w:t xml:space="preserve"> J </w:t>
      </w:r>
      <w:proofErr w:type="spellStart"/>
      <w:r w:rsidRPr="0045513F">
        <w:rPr>
          <w:rFonts w:ascii="Arial" w:hAnsi="Arial" w:cs="Arial"/>
        </w:rPr>
        <w:t>Morphol</w:t>
      </w:r>
      <w:proofErr w:type="spellEnd"/>
      <w:r w:rsidRPr="0045513F">
        <w:rPr>
          <w:rFonts w:ascii="Arial" w:hAnsi="Arial" w:cs="Arial"/>
        </w:rPr>
        <w:t xml:space="preserve"> [Internet]. 2009 [citado 27 Nov 2016];27(4). Disponible en: </w:t>
      </w:r>
      <w:hyperlink r:id="rId24" w:history="1">
        <w:r w:rsidRPr="0045513F">
          <w:rPr>
            <w:rStyle w:val="Hipervnculo"/>
            <w:rFonts w:ascii="Arial" w:hAnsi="Arial" w:cs="Arial"/>
          </w:rPr>
          <w:t>http://www.scielo.cl/scielo.php?script=sci_arttext&amp;pid=S0717-95022009000400050</w:t>
        </w:r>
      </w:hyperlink>
    </w:p>
    <w:sectPr w:rsidR="00F225F5" w:rsidRPr="0045513F" w:rsidSect="000A5533">
      <w:pgSz w:w="12242" w:h="15842" w:code="1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490C"/>
    <w:multiLevelType w:val="multilevel"/>
    <w:tmpl w:val="490E33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460149"/>
    <w:multiLevelType w:val="hybridMultilevel"/>
    <w:tmpl w:val="8E027FCA"/>
    <w:lvl w:ilvl="0" w:tplc="D1DA16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F1174"/>
    <w:multiLevelType w:val="hybridMultilevel"/>
    <w:tmpl w:val="5D2E4334"/>
    <w:lvl w:ilvl="0" w:tplc="704A6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50BA3"/>
    <w:multiLevelType w:val="hybridMultilevel"/>
    <w:tmpl w:val="3D5A21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F5"/>
    <w:rsid w:val="00007654"/>
    <w:rsid w:val="000618CA"/>
    <w:rsid w:val="000A44BA"/>
    <w:rsid w:val="000A5533"/>
    <w:rsid w:val="000B249A"/>
    <w:rsid w:val="000D431E"/>
    <w:rsid w:val="000E0CC9"/>
    <w:rsid w:val="00106399"/>
    <w:rsid w:val="001112EB"/>
    <w:rsid w:val="00126629"/>
    <w:rsid w:val="00147190"/>
    <w:rsid w:val="001507A6"/>
    <w:rsid w:val="00164F59"/>
    <w:rsid w:val="00165276"/>
    <w:rsid w:val="001736DE"/>
    <w:rsid w:val="001C5DE7"/>
    <w:rsid w:val="001D7DD4"/>
    <w:rsid w:val="00231902"/>
    <w:rsid w:val="00291CFA"/>
    <w:rsid w:val="00295751"/>
    <w:rsid w:val="0029731E"/>
    <w:rsid w:val="002A2D06"/>
    <w:rsid w:val="002D122B"/>
    <w:rsid w:val="002F72E4"/>
    <w:rsid w:val="0032229B"/>
    <w:rsid w:val="00385491"/>
    <w:rsid w:val="00393FF3"/>
    <w:rsid w:val="003A55DD"/>
    <w:rsid w:val="003E3552"/>
    <w:rsid w:val="00411088"/>
    <w:rsid w:val="0045513F"/>
    <w:rsid w:val="0048407D"/>
    <w:rsid w:val="004945D7"/>
    <w:rsid w:val="004A0FFC"/>
    <w:rsid w:val="004A60B3"/>
    <w:rsid w:val="004A718C"/>
    <w:rsid w:val="004F1A76"/>
    <w:rsid w:val="00566AC7"/>
    <w:rsid w:val="005911A2"/>
    <w:rsid w:val="005A46B0"/>
    <w:rsid w:val="005E42B1"/>
    <w:rsid w:val="005F3EC9"/>
    <w:rsid w:val="005F5B64"/>
    <w:rsid w:val="00603178"/>
    <w:rsid w:val="00606833"/>
    <w:rsid w:val="00607E1C"/>
    <w:rsid w:val="006106EC"/>
    <w:rsid w:val="00662847"/>
    <w:rsid w:val="00662EBC"/>
    <w:rsid w:val="006A2872"/>
    <w:rsid w:val="006A31DB"/>
    <w:rsid w:val="006A4DE4"/>
    <w:rsid w:val="006C49BB"/>
    <w:rsid w:val="006C68AE"/>
    <w:rsid w:val="006D770F"/>
    <w:rsid w:val="006E1C12"/>
    <w:rsid w:val="007070E1"/>
    <w:rsid w:val="00730D21"/>
    <w:rsid w:val="007469B1"/>
    <w:rsid w:val="007559E1"/>
    <w:rsid w:val="00775067"/>
    <w:rsid w:val="0078798D"/>
    <w:rsid w:val="007903F2"/>
    <w:rsid w:val="007A14DB"/>
    <w:rsid w:val="007A152A"/>
    <w:rsid w:val="007B586E"/>
    <w:rsid w:val="007F0724"/>
    <w:rsid w:val="00824CFA"/>
    <w:rsid w:val="008275A3"/>
    <w:rsid w:val="008A458B"/>
    <w:rsid w:val="008B5343"/>
    <w:rsid w:val="008B71DE"/>
    <w:rsid w:val="008F1B25"/>
    <w:rsid w:val="00900C05"/>
    <w:rsid w:val="00903618"/>
    <w:rsid w:val="00903CA2"/>
    <w:rsid w:val="00926CF3"/>
    <w:rsid w:val="0099333F"/>
    <w:rsid w:val="009A5011"/>
    <w:rsid w:val="009C4C9B"/>
    <w:rsid w:val="009D02EC"/>
    <w:rsid w:val="009D06C7"/>
    <w:rsid w:val="009E13F5"/>
    <w:rsid w:val="009F0D5B"/>
    <w:rsid w:val="009F61DE"/>
    <w:rsid w:val="00A10B49"/>
    <w:rsid w:val="00A42046"/>
    <w:rsid w:val="00A43F29"/>
    <w:rsid w:val="00A468D6"/>
    <w:rsid w:val="00A55C7B"/>
    <w:rsid w:val="00A74AF9"/>
    <w:rsid w:val="00AB21F8"/>
    <w:rsid w:val="00AD3ED5"/>
    <w:rsid w:val="00AD74E5"/>
    <w:rsid w:val="00B138AA"/>
    <w:rsid w:val="00B23A9A"/>
    <w:rsid w:val="00B4685A"/>
    <w:rsid w:val="00B82295"/>
    <w:rsid w:val="00B95078"/>
    <w:rsid w:val="00B97246"/>
    <w:rsid w:val="00BA2329"/>
    <w:rsid w:val="00BC4C90"/>
    <w:rsid w:val="00BC5D82"/>
    <w:rsid w:val="00BC75CF"/>
    <w:rsid w:val="00BE15C0"/>
    <w:rsid w:val="00BE5992"/>
    <w:rsid w:val="00C139BB"/>
    <w:rsid w:val="00C550A5"/>
    <w:rsid w:val="00C74A35"/>
    <w:rsid w:val="00C921E1"/>
    <w:rsid w:val="00CF3D07"/>
    <w:rsid w:val="00D01A84"/>
    <w:rsid w:val="00DA6C96"/>
    <w:rsid w:val="00DC5311"/>
    <w:rsid w:val="00DD4550"/>
    <w:rsid w:val="00E26C20"/>
    <w:rsid w:val="00E44E51"/>
    <w:rsid w:val="00E50A84"/>
    <w:rsid w:val="00E837F6"/>
    <w:rsid w:val="00EC15D4"/>
    <w:rsid w:val="00F00A06"/>
    <w:rsid w:val="00F12DD3"/>
    <w:rsid w:val="00F225F5"/>
    <w:rsid w:val="00F52879"/>
    <w:rsid w:val="00F86F2C"/>
    <w:rsid w:val="00FB28DA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85B5CD"/>
  <w15:docId w15:val="{823310B4-19CB-4E04-9910-E3AA2D1D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837F6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83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837F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E837F6"/>
  </w:style>
  <w:style w:type="paragraph" w:styleId="Prrafodelista">
    <w:name w:val="List Paragraph"/>
    <w:basedOn w:val="Normal"/>
    <w:uiPriority w:val="34"/>
    <w:qFormat/>
    <w:rsid w:val="0099333F"/>
    <w:pPr>
      <w:ind w:left="720"/>
      <w:contextualSpacing/>
    </w:pPr>
  </w:style>
  <w:style w:type="paragraph" w:customStyle="1" w:styleId="Default">
    <w:name w:val="Default"/>
    <w:rsid w:val="00DD45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C550A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5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28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uiPriority w:val="20"/>
    <w:qFormat/>
    <w:rsid w:val="001736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file:///C:/Users/liuba/AppData/Local/Temp/Dra.%20Liuba%20Gonz&#225;lez%20Espangler.pdf" TargetMode="External"/><Relationship Id="rId18" Type="http://schemas.openxmlformats.org/officeDocument/2006/relationships/hyperlink" Target="http://www.repositorio.usac.edu.gt/6166/1/T_2676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repositorio.uigv.edu.pe/bitstream/handle/20.500.11818/2436/TESIS_Karla%20Beatriz%2C%20DUQUE%20CONTRERAS.pdf?sequence=2&amp;isAllowed=y" TargetMode="External"/><Relationship Id="rId7" Type="http://schemas.openxmlformats.org/officeDocument/2006/relationships/hyperlink" Target="mailto:merci84@nauta.cu" TargetMode="External"/><Relationship Id="rId12" Type="http://schemas.openxmlformats.org/officeDocument/2006/relationships/hyperlink" Target="https://ocw.ehu.eus/pluginfile.php/1561/mod_resource/content/1/Material_de_estudio/Tema1._Erupcion_y_patologia_asociada/Tema_1.-Erupcion_deltercer_molar._Patologia_asociada.pdf" TargetMode="External"/><Relationship Id="rId17" Type="http://schemas.openxmlformats.org/officeDocument/2006/relationships/hyperlink" Target="http://scielo.sld.cu/scielo.php?script=sci_arttext&amp;pid=S0034-75072019000200005&amp;lng=e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tomatologia2020.sld.cu/index.php/estomatologia/2020/paper/view/9/114" TargetMode="External"/><Relationship Id="rId20" Type="http://schemas.openxmlformats.org/officeDocument/2006/relationships/hyperlink" Target="http://scielo.sld.cu/scielo.php?script=sci_arttext&amp;pid=S1029-30192019000500860&amp;lng=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e-bucodentalfaby.blogspot.com/" TargetMode="External"/><Relationship Id="rId24" Type="http://schemas.openxmlformats.org/officeDocument/2006/relationships/hyperlink" Target="http://www.scielo.cl/scielo.php?script=sci_arttext&amp;pid=S0717-950220090004000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digraphic.com/pdfs/abril/abr-2018/abr18268e.pdf" TargetMode="External"/><Relationship Id="rId23" Type="http://schemas.openxmlformats.org/officeDocument/2006/relationships/hyperlink" Target="http://www.bvs.sld.cu/libros/anatomia_estomatologia/anatomia_estomatologia_completo.pdf" TargetMode="External"/><Relationship Id="rId10" Type="http://schemas.openxmlformats.org/officeDocument/2006/relationships/hyperlink" Target="http://www.estomatologia2020.sld.cu/index.php/estomatologia/2020/paper/view/8/201" TargetMode="External"/><Relationship Id="rId19" Type="http://schemas.openxmlformats.org/officeDocument/2006/relationships/hyperlink" Target="https://www.ilerna.es/blog/aprende-con-ilerna-online/sanidad/codigo-internacional-dientes-fd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scielo.sld.cu/scielo.php?script=sci_arttext&amp;pid=S1029-30192017001100010" TargetMode="External"/><Relationship Id="rId22" Type="http://schemas.openxmlformats.org/officeDocument/2006/relationships/hyperlink" Target="http://www.bvs.sld.cu/libros_texto/cirugia_bucal_selec_temas/cirugia_bucal_complet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F82C-E288-4D86-97BF-D8FE1807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3175</Words>
  <Characters>17463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</dc:creator>
  <cp:keywords/>
  <dc:description/>
  <cp:lastModifiedBy>LAPTOP</cp:lastModifiedBy>
  <cp:revision>2</cp:revision>
  <dcterms:created xsi:type="dcterms:W3CDTF">2021-11-22T20:08:00Z</dcterms:created>
  <dcterms:modified xsi:type="dcterms:W3CDTF">2021-11-22T20:08:00Z</dcterms:modified>
</cp:coreProperties>
</file>